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5C2426">
      <w:pPr>
        <w:keepNext w:val="0"/>
        <w:keepLines w:val="0"/>
        <w:pageBreakBefore w:val="0"/>
        <w:widowControl/>
        <w:suppressLineNumbers w:val="0"/>
        <w:kinsoku/>
        <w:wordWrap/>
        <w:overflowPunct/>
        <w:topLinePunct w:val="0"/>
        <w:autoSpaceDE/>
        <w:autoSpaceDN/>
        <w:bidi w:val="0"/>
        <w:adjustRightInd/>
        <w:snapToGrid/>
        <w:spacing w:after="157" w:afterLines="50"/>
        <w:jc w:val="center"/>
        <w:textAlignment w:val="center"/>
        <w:rPr>
          <w:rFonts w:hint="eastAsia" w:ascii="宋体" w:hAnsi="宋体" w:eastAsia="宋体" w:cs="宋体"/>
          <w:b/>
          <w:bCs/>
          <w:i w:val="0"/>
          <w:iCs w:val="0"/>
          <w:color w:val="000000"/>
          <w:kern w:val="0"/>
          <w:sz w:val="36"/>
          <w:szCs w:val="36"/>
          <w:u w:val="none"/>
          <w:lang w:val="en-US" w:eastAsia="zh-CN" w:bidi="ar"/>
        </w:rPr>
      </w:pPr>
      <w:r>
        <w:rPr>
          <w:rFonts w:hint="eastAsia" w:ascii="宋体" w:hAnsi="宋体" w:eastAsia="宋体" w:cs="宋体"/>
          <w:b/>
          <w:bCs/>
          <w:i w:val="0"/>
          <w:iCs w:val="0"/>
          <w:color w:val="000000"/>
          <w:kern w:val="0"/>
          <w:sz w:val="36"/>
          <w:szCs w:val="36"/>
          <w:u w:val="none"/>
          <w:lang w:val="en-US" w:eastAsia="zh-CN" w:bidi="ar"/>
        </w:rPr>
        <w:t>电子竞价报价一览表</w:t>
      </w:r>
    </w:p>
    <w:p w14:paraId="389D527F">
      <w:pPr>
        <w:keepNext w:val="0"/>
        <w:keepLines w:val="0"/>
        <w:widowControl/>
        <w:suppressLineNumbers w:val="0"/>
        <w:spacing w:line="360" w:lineRule="auto"/>
        <w:jc w:val="left"/>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电子询价项目名称：南岭国家公园候选区科普宣教运维（南岭片区）</w:t>
      </w:r>
    </w:p>
    <w:p w14:paraId="28E02A41">
      <w:pPr>
        <w:keepNext w:val="0"/>
        <w:keepLines w:val="0"/>
        <w:widowControl/>
        <w:suppressLineNumbers w:val="0"/>
        <w:spacing w:line="360" w:lineRule="auto"/>
        <w:jc w:val="left"/>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电子询价项目编号：2026-050-GDHZ-DZX                                                               预算金额：¥398,000.00</w:t>
      </w:r>
    </w:p>
    <w:tbl>
      <w:tblPr>
        <w:tblStyle w:val="4"/>
        <w:tblW w:w="1510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61"/>
        <w:gridCol w:w="1155"/>
        <w:gridCol w:w="4995"/>
        <w:gridCol w:w="1110"/>
        <w:gridCol w:w="645"/>
        <w:gridCol w:w="735"/>
        <w:gridCol w:w="1644"/>
        <w:gridCol w:w="1851"/>
        <w:gridCol w:w="1678"/>
        <w:gridCol w:w="733"/>
      </w:tblGrid>
      <w:tr w14:paraId="707782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5" w:hRule="atLeast"/>
          <w:jc w:val="center"/>
        </w:trPr>
        <w:tc>
          <w:tcPr>
            <w:tcW w:w="561" w:type="dxa"/>
            <w:vMerge w:val="restart"/>
            <w:tcBorders>
              <w:top w:val="single" w:color="000000" w:sz="4" w:space="0"/>
              <w:left w:val="single" w:color="000000" w:sz="4" w:space="0"/>
              <w:right w:val="single" w:color="000000" w:sz="4" w:space="0"/>
            </w:tcBorders>
            <w:shd w:val="clear" w:color="auto" w:fill="auto"/>
            <w:vAlign w:val="center"/>
          </w:tcPr>
          <w:p w14:paraId="531F139E">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序号</w:t>
            </w:r>
          </w:p>
        </w:tc>
        <w:tc>
          <w:tcPr>
            <w:tcW w:w="1155" w:type="dxa"/>
            <w:vMerge w:val="restart"/>
            <w:tcBorders>
              <w:top w:val="single" w:color="000000" w:sz="4" w:space="0"/>
              <w:left w:val="single" w:color="000000" w:sz="4" w:space="0"/>
              <w:right w:val="single" w:color="000000" w:sz="4" w:space="0"/>
            </w:tcBorders>
            <w:shd w:val="clear" w:color="auto" w:fill="auto"/>
            <w:noWrap/>
            <w:vAlign w:val="center"/>
          </w:tcPr>
          <w:p w14:paraId="79140AB3">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采购标的</w:t>
            </w:r>
          </w:p>
        </w:tc>
        <w:tc>
          <w:tcPr>
            <w:tcW w:w="4995" w:type="dxa"/>
            <w:vMerge w:val="restart"/>
            <w:tcBorders>
              <w:top w:val="single" w:color="000000" w:sz="4" w:space="0"/>
              <w:left w:val="single" w:color="000000" w:sz="4" w:space="0"/>
              <w:right w:val="single" w:color="000000" w:sz="4" w:space="0"/>
            </w:tcBorders>
            <w:shd w:val="clear" w:color="auto" w:fill="auto"/>
            <w:vAlign w:val="center"/>
          </w:tcPr>
          <w:p w14:paraId="6834C66F">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采购需求的技术、服务要求</w:t>
            </w:r>
          </w:p>
        </w:tc>
        <w:tc>
          <w:tcPr>
            <w:tcW w:w="1110" w:type="dxa"/>
            <w:vMerge w:val="restart"/>
            <w:tcBorders>
              <w:top w:val="single" w:color="000000" w:sz="4" w:space="0"/>
              <w:left w:val="single" w:color="000000" w:sz="4" w:space="0"/>
              <w:right w:val="single" w:color="000000" w:sz="4" w:space="0"/>
            </w:tcBorders>
            <w:shd w:val="clear" w:color="auto" w:fill="auto"/>
            <w:vAlign w:val="center"/>
          </w:tcPr>
          <w:p w14:paraId="34472AB9">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报价产品的技术、服务响应情况</w:t>
            </w:r>
          </w:p>
        </w:tc>
        <w:tc>
          <w:tcPr>
            <w:tcW w:w="645" w:type="dxa"/>
            <w:vMerge w:val="restart"/>
            <w:tcBorders>
              <w:top w:val="single" w:color="000000" w:sz="4" w:space="0"/>
              <w:left w:val="single" w:color="000000" w:sz="4" w:space="0"/>
              <w:right w:val="single" w:color="000000" w:sz="4" w:space="0"/>
            </w:tcBorders>
            <w:shd w:val="clear" w:color="auto" w:fill="auto"/>
            <w:vAlign w:val="center"/>
          </w:tcPr>
          <w:p w14:paraId="40E0A8F8">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是否满足要求</w:t>
            </w:r>
          </w:p>
        </w:tc>
        <w:tc>
          <w:tcPr>
            <w:tcW w:w="735" w:type="dxa"/>
            <w:vMerge w:val="restart"/>
            <w:tcBorders>
              <w:top w:val="single" w:color="000000" w:sz="4" w:space="0"/>
              <w:left w:val="single" w:color="000000" w:sz="4" w:space="0"/>
              <w:right w:val="single" w:color="000000" w:sz="4" w:space="0"/>
            </w:tcBorders>
            <w:shd w:val="clear" w:color="auto" w:fill="auto"/>
            <w:vAlign w:val="center"/>
          </w:tcPr>
          <w:p w14:paraId="60D0F6D1">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数量</w:t>
            </w:r>
          </w:p>
        </w:tc>
        <w:tc>
          <w:tcPr>
            <w:tcW w:w="517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129DF1">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响应报价（元）</w:t>
            </w:r>
          </w:p>
        </w:tc>
        <w:tc>
          <w:tcPr>
            <w:tcW w:w="733" w:type="dxa"/>
            <w:vMerge w:val="restart"/>
            <w:tcBorders>
              <w:top w:val="single" w:color="000000" w:sz="4" w:space="0"/>
              <w:left w:val="single" w:color="000000" w:sz="4" w:space="0"/>
              <w:right w:val="single" w:color="000000" w:sz="4" w:space="0"/>
            </w:tcBorders>
            <w:shd w:val="clear" w:color="auto" w:fill="auto"/>
            <w:vAlign w:val="center"/>
          </w:tcPr>
          <w:p w14:paraId="2BA59CA9">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备注</w:t>
            </w:r>
          </w:p>
        </w:tc>
      </w:tr>
      <w:tr w14:paraId="6219D5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5" w:hRule="atLeast"/>
          <w:jc w:val="center"/>
        </w:trPr>
        <w:tc>
          <w:tcPr>
            <w:tcW w:w="561" w:type="dxa"/>
            <w:vMerge w:val="continue"/>
            <w:tcBorders>
              <w:left w:val="single" w:color="000000" w:sz="4" w:space="0"/>
              <w:bottom w:val="single" w:color="000000" w:sz="4" w:space="0"/>
              <w:right w:val="single" w:color="000000" w:sz="4" w:space="0"/>
            </w:tcBorders>
            <w:shd w:val="clear" w:color="auto" w:fill="auto"/>
            <w:vAlign w:val="center"/>
          </w:tcPr>
          <w:p w14:paraId="31F66838">
            <w:pPr>
              <w:keepNext w:val="0"/>
              <w:keepLines w:val="0"/>
              <w:pageBreakBefore w:val="0"/>
              <w:widowControl/>
              <w:suppressLineNumbers w:val="0"/>
              <w:kinsoku/>
              <w:wordWrap/>
              <w:overflowPunct/>
              <w:topLinePunct w:val="0"/>
              <w:bidi w:val="0"/>
              <w:adjustRightInd/>
              <w:snapToGrid/>
              <w:spacing w:line="380" w:lineRule="exact"/>
              <w:jc w:val="center"/>
              <w:textAlignment w:val="center"/>
            </w:pPr>
          </w:p>
        </w:tc>
        <w:tc>
          <w:tcPr>
            <w:tcW w:w="1155" w:type="dxa"/>
            <w:vMerge w:val="continue"/>
            <w:tcBorders>
              <w:left w:val="single" w:color="000000" w:sz="4" w:space="0"/>
              <w:bottom w:val="single" w:color="000000" w:sz="4" w:space="0"/>
              <w:right w:val="single" w:color="000000" w:sz="4" w:space="0"/>
            </w:tcBorders>
            <w:shd w:val="clear" w:color="auto" w:fill="auto"/>
            <w:noWrap/>
            <w:vAlign w:val="center"/>
          </w:tcPr>
          <w:p w14:paraId="40F96BF0">
            <w:pPr>
              <w:keepNext w:val="0"/>
              <w:keepLines w:val="0"/>
              <w:pageBreakBefore w:val="0"/>
              <w:widowControl/>
              <w:suppressLineNumbers w:val="0"/>
              <w:kinsoku/>
              <w:wordWrap/>
              <w:overflowPunct/>
              <w:topLinePunct w:val="0"/>
              <w:bidi w:val="0"/>
              <w:adjustRightInd/>
              <w:snapToGrid/>
              <w:spacing w:line="380" w:lineRule="exact"/>
              <w:jc w:val="center"/>
              <w:textAlignment w:val="center"/>
            </w:pPr>
          </w:p>
        </w:tc>
        <w:tc>
          <w:tcPr>
            <w:tcW w:w="4995" w:type="dxa"/>
            <w:vMerge w:val="continue"/>
            <w:tcBorders>
              <w:left w:val="single" w:color="000000" w:sz="4" w:space="0"/>
              <w:bottom w:val="single" w:color="000000" w:sz="4" w:space="0"/>
              <w:right w:val="single" w:color="000000" w:sz="4" w:space="0"/>
            </w:tcBorders>
            <w:shd w:val="clear" w:color="auto" w:fill="auto"/>
            <w:vAlign w:val="center"/>
          </w:tcPr>
          <w:p w14:paraId="5409621F">
            <w:pPr>
              <w:keepNext w:val="0"/>
              <w:keepLines w:val="0"/>
              <w:pageBreakBefore w:val="0"/>
              <w:widowControl/>
              <w:suppressLineNumbers w:val="0"/>
              <w:kinsoku/>
              <w:wordWrap/>
              <w:overflowPunct/>
              <w:topLinePunct w:val="0"/>
              <w:bidi w:val="0"/>
              <w:adjustRightInd/>
              <w:snapToGrid/>
              <w:spacing w:line="380" w:lineRule="exact"/>
              <w:jc w:val="center"/>
              <w:textAlignment w:val="center"/>
            </w:pPr>
          </w:p>
        </w:tc>
        <w:tc>
          <w:tcPr>
            <w:tcW w:w="1110" w:type="dxa"/>
            <w:vMerge w:val="continue"/>
            <w:tcBorders>
              <w:left w:val="single" w:color="000000" w:sz="4" w:space="0"/>
              <w:bottom w:val="single" w:color="000000" w:sz="4" w:space="0"/>
              <w:right w:val="single" w:color="000000" w:sz="4" w:space="0"/>
            </w:tcBorders>
            <w:shd w:val="clear" w:color="auto" w:fill="auto"/>
            <w:vAlign w:val="center"/>
          </w:tcPr>
          <w:p w14:paraId="761D7249">
            <w:pPr>
              <w:keepNext w:val="0"/>
              <w:keepLines w:val="0"/>
              <w:pageBreakBefore w:val="0"/>
              <w:widowControl/>
              <w:suppressLineNumbers w:val="0"/>
              <w:kinsoku/>
              <w:wordWrap/>
              <w:overflowPunct/>
              <w:topLinePunct w:val="0"/>
              <w:bidi w:val="0"/>
              <w:adjustRightInd/>
              <w:snapToGrid/>
              <w:spacing w:line="380" w:lineRule="exact"/>
              <w:jc w:val="center"/>
              <w:textAlignment w:val="center"/>
            </w:pPr>
          </w:p>
        </w:tc>
        <w:tc>
          <w:tcPr>
            <w:tcW w:w="645" w:type="dxa"/>
            <w:vMerge w:val="continue"/>
            <w:tcBorders>
              <w:left w:val="single" w:color="000000" w:sz="4" w:space="0"/>
              <w:bottom w:val="single" w:color="000000" w:sz="4" w:space="0"/>
              <w:right w:val="single" w:color="000000" w:sz="4" w:space="0"/>
            </w:tcBorders>
            <w:shd w:val="clear" w:color="auto" w:fill="auto"/>
            <w:vAlign w:val="center"/>
          </w:tcPr>
          <w:p w14:paraId="5C41B774">
            <w:pPr>
              <w:keepNext w:val="0"/>
              <w:keepLines w:val="0"/>
              <w:pageBreakBefore w:val="0"/>
              <w:widowControl/>
              <w:suppressLineNumbers w:val="0"/>
              <w:kinsoku/>
              <w:wordWrap/>
              <w:overflowPunct/>
              <w:topLinePunct w:val="0"/>
              <w:bidi w:val="0"/>
              <w:adjustRightInd/>
              <w:snapToGrid/>
              <w:spacing w:line="380" w:lineRule="exact"/>
              <w:jc w:val="center"/>
              <w:textAlignment w:val="center"/>
            </w:pPr>
          </w:p>
        </w:tc>
        <w:tc>
          <w:tcPr>
            <w:tcW w:w="735" w:type="dxa"/>
            <w:vMerge w:val="continue"/>
            <w:tcBorders>
              <w:left w:val="single" w:color="000000" w:sz="4" w:space="0"/>
              <w:bottom w:val="single" w:color="000000" w:sz="4" w:space="0"/>
              <w:right w:val="single" w:color="000000" w:sz="4" w:space="0"/>
            </w:tcBorders>
            <w:shd w:val="clear" w:color="auto" w:fill="auto"/>
            <w:vAlign w:val="center"/>
          </w:tcPr>
          <w:p w14:paraId="6ED2B259">
            <w:pPr>
              <w:keepNext w:val="0"/>
              <w:keepLines w:val="0"/>
              <w:pageBreakBefore w:val="0"/>
              <w:widowControl/>
              <w:suppressLineNumbers w:val="0"/>
              <w:kinsoku/>
              <w:wordWrap/>
              <w:overflowPunct/>
              <w:topLinePunct w:val="0"/>
              <w:bidi w:val="0"/>
              <w:adjustRightInd/>
              <w:snapToGrid/>
              <w:spacing w:line="380" w:lineRule="exact"/>
              <w:jc w:val="center"/>
              <w:textAlignment w:val="center"/>
            </w:pPr>
          </w:p>
        </w:tc>
        <w:tc>
          <w:tcPr>
            <w:tcW w:w="16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CF968">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sz w:val="22"/>
                <w:szCs w:val="22"/>
                <w:highlight w:val="none"/>
                <w:lang w:val="en-US" w:eastAsia="zh-CN"/>
              </w:rPr>
              <w:t>第五届南岭观鸟嘉年华活动</w:t>
            </w:r>
          </w:p>
        </w:tc>
        <w:tc>
          <w:tcPr>
            <w:tcW w:w="18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F7752">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sz w:val="22"/>
                <w:szCs w:val="22"/>
                <w:highlight w:val="none"/>
                <w:lang w:val="en-US" w:eastAsia="zh-CN"/>
              </w:rPr>
              <w:t>南岭观鸟系列自然教育科普活</w:t>
            </w:r>
          </w:p>
        </w:tc>
        <w:tc>
          <w:tcPr>
            <w:tcW w:w="1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1A6F9">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sz w:val="22"/>
                <w:szCs w:val="22"/>
                <w:highlight w:val="none"/>
                <w:lang w:val="en-US" w:eastAsia="zh-CN"/>
              </w:rPr>
              <w:t>南岭鸟类监测</w:t>
            </w:r>
          </w:p>
        </w:tc>
        <w:tc>
          <w:tcPr>
            <w:tcW w:w="733" w:type="dxa"/>
            <w:vMerge w:val="continue"/>
            <w:tcBorders>
              <w:left w:val="single" w:color="000000" w:sz="4" w:space="0"/>
              <w:bottom w:val="single" w:color="000000" w:sz="4" w:space="0"/>
              <w:right w:val="single" w:color="000000" w:sz="4" w:space="0"/>
            </w:tcBorders>
            <w:shd w:val="clear" w:color="auto" w:fill="auto"/>
            <w:vAlign w:val="center"/>
          </w:tcPr>
          <w:p w14:paraId="141CEEE7">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kern w:val="0"/>
                <w:sz w:val="21"/>
                <w:szCs w:val="21"/>
                <w:u w:val="none"/>
                <w:lang w:val="en-US" w:eastAsia="zh-CN" w:bidi="ar"/>
              </w:rPr>
            </w:pPr>
          </w:p>
        </w:tc>
      </w:tr>
      <w:tr w14:paraId="21154D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5" w:hRule="atLeast"/>
          <w:jc w:val="center"/>
        </w:trPr>
        <w:tc>
          <w:tcPr>
            <w:tcW w:w="5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80C53">
            <w:pPr>
              <w:keepNext w:val="0"/>
              <w:keepLines w:val="0"/>
              <w:pageBreakBefore w:val="0"/>
              <w:widowControl/>
              <w:suppressLineNumbers w:val="0"/>
              <w:kinsoku/>
              <w:wordWrap/>
              <w:overflowPunct/>
              <w:topLinePunct w:val="0"/>
              <w:bidi w:val="0"/>
              <w:adjustRightInd/>
              <w:snapToGrid/>
              <w:spacing w:line="380" w:lineRule="exact"/>
              <w:ind w:left="0" w:leftChars="0" w:firstLine="0" w:firstLineChars="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1</w:t>
            </w:r>
          </w:p>
        </w:tc>
        <w:tc>
          <w:tcPr>
            <w:tcW w:w="11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79D74">
            <w:pPr>
              <w:keepNext w:val="0"/>
              <w:keepLines w:val="0"/>
              <w:pageBreakBefore w:val="0"/>
              <w:widowControl/>
              <w:suppressLineNumbers w:val="0"/>
              <w:kinsoku/>
              <w:wordWrap/>
              <w:overflowPunct/>
              <w:topLinePunct w:val="0"/>
              <w:bidi w:val="0"/>
              <w:adjustRightInd/>
              <w:snapToGrid/>
              <w:spacing w:line="380" w:lineRule="exact"/>
              <w:ind w:left="0" w:leftChars="0" w:firstLine="0" w:firstLineChars="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南岭国家公园候选区科普宣教运维（南岭片区）</w:t>
            </w:r>
          </w:p>
        </w:tc>
        <w:tc>
          <w:tcPr>
            <w:tcW w:w="4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AF1A9">
            <w:pPr>
              <w:keepNext w:val="0"/>
              <w:keepLines w:val="0"/>
              <w:pageBreakBefore w:val="0"/>
              <w:widowControl w:val="0"/>
              <w:numPr>
                <w:ilvl w:val="0"/>
                <w:numId w:val="1"/>
              </w:numPr>
              <w:kinsoku/>
              <w:wordWrap/>
              <w:overflowPunct/>
              <w:topLinePunct w:val="0"/>
              <w:autoSpaceDE/>
              <w:autoSpaceDN/>
              <w:bidi w:val="0"/>
              <w:adjustRightInd/>
              <w:snapToGrid/>
              <w:spacing w:beforeAutospacing="0" w:afterAutospacing="0" w:line="360" w:lineRule="auto"/>
              <w:ind w:left="0" w:leftChars="0" w:firstLine="0" w:firstLineChars="0"/>
              <w:textAlignment w:val="auto"/>
              <w:rPr>
                <w:rFonts w:hint="eastAsia" w:ascii="宋体" w:hAnsi="宋体" w:eastAsia="宋体" w:cs="宋体"/>
                <w:b/>
                <w:bCs/>
                <w:sz w:val="22"/>
                <w:szCs w:val="22"/>
                <w:highlight w:val="none"/>
              </w:rPr>
            </w:pPr>
            <w:r>
              <w:rPr>
                <w:rFonts w:hint="eastAsia" w:ascii="宋体" w:hAnsi="宋体" w:eastAsia="宋体" w:cs="宋体"/>
                <w:b/>
                <w:bCs/>
                <w:sz w:val="22"/>
                <w:szCs w:val="22"/>
                <w:highlight w:val="none"/>
              </w:rPr>
              <w:t>采购项目概况</w:t>
            </w:r>
          </w:p>
          <w:p w14:paraId="5E78618B">
            <w:pPr>
              <w:keepNext w:val="0"/>
              <w:keepLines w:val="0"/>
              <w:pageBreakBefore w:val="0"/>
              <w:kinsoku/>
              <w:wordWrap/>
              <w:overflowPunct/>
              <w:topLinePunct w:val="0"/>
              <w:autoSpaceDE/>
              <w:autoSpaceDN/>
              <w:bidi w:val="0"/>
              <w:spacing w:beforeAutospacing="0" w:afterAutospacing="0" w:line="360" w:lineRule="auto"/>
              <w:ind w:left="0" w:leftChars="0" w:firstLine="0" w:firstLineChars="0"/>
              <w:jc w:val="left"/>
              <w:rPr>
                <w:rFonts w:hint="eastAsia" w:ascii="宋体" w:hAnsi="宋体" w:eastAsia="宋体" w:cs="宋体"/>
                <w:color w:val="000000"/>
                <w:sz w:val="22"/>
                <w:szCs w:val="22"/>
                <w:highlight w:val="none"/>
                <w:lang w:eastAsia="zh-CN"/>
              </w:rPr>
            </w:pPr>
            <w:r>
              <w:rPr>
                <w:rFonts w:hint="eastAsia" w:ascii="宋体" w:hAnsi="宋体" w:eastAsia="宋体" w:cs="宋体"/>
                <w:color w:val="000000"/>
                <w:sz w:val="22"/>
                <w:szCs w:val="22"/>
                <w:highlight w:val="none"/>
                <w:lang w:val="en-US" w:eastAsia="zh-CN"/>
              </w:rPr>
              <w:t>项目主要内容包括开展第五届南岭观鸟嘉年华活动；开展10场南岭观鸟系列自然教育科普活动；开展南岭国家公园候选区南岭片区42个网格鸟类监测。</w:t>
            </w:r>
          </w:p>
          <w:p w14:paraId="1EB4DCF1">
            <w:pPr>
              <w:keepNext w:val="0"/>
              <w:keepLines w:val="0"/>
              <w:pageBreakBefore w:val="0"/>
              <w:widowControl w:val="0"/>
              <w:numPr>
                <w:ilvl w:val="0"/>
                <w:numId w:val="1"/>
              </w:numPr>
              <w:kinsoku/>
              <w:wordWrap/>
              <w:overflowPunct/>
              <w:topLinePunct w:val="0"/>
              <w:autoSpaceDE/>
              <w:autoSpaceDN/>
              <w:bidi w:val="0"/>
              <w:adjustRightInd/>
              <w:snapToGrid/>
              <w:spacing w:beforeAutospacing="0" w:afterAutospacing="0" w:line="360" w:lineRule="auto"/>
              <w:ind w:left="0" w:leftChars="0" w:firstLine="0" w:firstLineChars="0"/>
              <w:textAlignment w:val="auto"/>
              <w:rPr>
                <w:rFonts w:hint="eastAsia" w:ascii="宋体" w:hAnsi="宋体" w:eastAsia="宋体" w:cs="宋体"/>
                <w:sz w:val="22"/>
                <w:szCs w:val="22"/>
                <w:highlight w:val="none"/>
              </w:rPr>
            </w:pPr>
            <w:r>
              <w:rPr>
                <w:rFonts w:hint="eastAsia" w:ascii="宋体" w:hAnsi="宋体" w:eastAsia="宋体" w:cs="宋体"/>
                <w:b/>
                <w:bCs/>
                <w:sz w:val="22"/>
                <w:szCs w:val="22"/>
                <w:highlight w:val="none"/>
              </w:rPr>
              <w:t>采购需求一览表</w:t>
            </w:r>
          </w:p>
          <w:tbl>
            <w:tblPr>
              <w:tblStyle w:val="4"/>
              <w:tblW w:w="4777" w:type="dxa"/>
              <w:tblInd w:w="0" w:type="dxa"/>
              <w:tblLayout w:type="fixed"/>
              <w:tblCellMar>
                <w:top w:w="0" w:type="dxa"/>
                <w:left w:w="0" w:type="dxa"/>
                <w:bottom w:w="0" w:type="dxa"/>
                <w:right w:w="0" w:type="dxa"/>
              </w:tblCellMar>
            </w:tblPr>
            <w:tblGrid>
              <w:gridCol w:w="413"/>
              <w:gridCol w:w="1004"/>
              <w:gridCol w:w="585"/>
              <w:gridCol w:w="600"/>
              <w:gridCol w:w="1020"/>
              <w:gridCol w:w="1155"/>
            </w:tblGrid>
            <w:tr w14:paraId="2A62413C">
              <w:tblPrEx>
                <w:tblCellMar>
                  <w:top w:w="0" w:type="dxa"/>
                  <w:left w:w="0" w:type="dxa"/>
                  <w:bottom w:w="0" w:type="dxa"/>
                  <w:right w:w="0" w:type="dxa"/>
                </w:tblCellMar>
              </w:tblPrEx>
              <w:trPr>
                <w:trHeight w:val="0" w:hRule="atLeast"/>
              </w:trPr>
              <w:tc>
                <w:tcPr>
                  <w:tcW w:w="432"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5B8B5EB">
                  <w:pPr>
                    <w:keepNext w:val="0"/>
                    <w:keepLines w:val="0"/>
                    <w:pageBreakBefore w:val="0"/>
                    <w:widowControl/>
                    <w:kinsoku/>
                    <w:wordWrap/>
                    <w:overflowPunct/>
                    <w:topLinePunct w:val="0"/>
                    <w:autoSpaceDE/>
                    <w:autoSpaceDN/>
                    <w:bidi w:val="0"/>
                    <w:spacing w:beforeAutospacing="0" w:afterAutospacing="0" w:line="240" w:lineRule="auto"/>
                    <w:ind w:left="0" w:leftChars="0"/>
                    <w:jc w:val="center"/>
                    <w:textAlignment w:val="center"/>
                    <w:rPr>
                      <w:rFonts w:hint="eastAsia" w:ascii="宋体" w:hAnsi="宋体" w:eastAsia="宋体" w:cs="宋体"/>
                      <w:b/>
                      <w:bCs/>
                      <w:sz w:val="22"/>
                      <w:szCs w:val="22"/>
                      <w:highlight w:val="none"/>
                    </w:rPr>
                  </w:pPr>
                  <w:r>
                    <w:rPr>
                      <w:rFonts w:hint="eastAsia" w:ascii="宋体" w:hAnsi="宋体" w:eastAsia="宋体" w:cs="宋体"/>
                      <w:b/>
                      <w:bCs/>
                      <w:kern w:val="0"/>
                      <w:sz w:val="22"/>
                      <w:szCs w:val="22"/>
                      <w:highlight w:val="none"/>
                      <w:lang w:bidi="ar"/>
                    </w:rPr>
                    <w:t>序号</w:t>
                  </w:r>
                </w:p>
              </w:tc>
              <w:tc>
                <w:tcPr>
                  <w:tcW w:w="1050"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C5C6FBF">
                  <w:pPr>
                    <w:keepNext w:val="0"/>
                    <w:keepLines w:val="0"/>
                    <w:pageBreakBefore w:val="0"/>
                    <w:widowControl/>
                    <w:kinsoku/>
                    <w:wordWrap/>
                    <w:overflowPunct/>
                    <w:topLinePunct w:val="0"/>
                    <w:autoSpaceDE/>
                    <w:autoSpaceDN/>
                    <w:bidi w:val="0"/>
                    <w:spacing w:beforeAutospacing="0" w:afterAutospacing="0" w:line="240" w:lineRule="auto"/>
                    <w:ind w:left="0" w:leftChars="0"/>
                    <w:jc w:val="center"/>
                    <w:textAlignment w:val="center"/>
                    <w:rPr>
                      <w:rFonts w:hint="eastAsia" w:ascii="宋体" w:hAnsi="宋体" w:eastAsia="宋体" w:cs="宋体"/>
                      <w:b/>
                      <w:bCs/>
                      <w:sz w:val="22"/>
                      <w:szCs w:val="22"/>
                      <w:highlight w:val="none"/>
                    </w:rPr>
                  </w:pPr>
                  <w:r>
                    <w:rPr>
                      <w:rFonts w:hint="eastAsia" w:ascii="宋体" w:hAnsi="宋体" w:eastAsia="宋体" w:cs="宋体"/>
                      <w:b/>
                      <w:bCs/>
                      <w:kern w:val="0"/>
                      <w:sz w:val="22"/>
                      <w:szCs w:val="22"/>
                      <w:highlight w:val="none"/>
                      <w:lang w:bidi="ar"/>
                    </w:rPr>
                    <w:t>采购内容</w:t>
                  </w:r>
                </w:p>
              </w:tc>
              <w:tc>
                <w:tcPr>
                  <w:tcW w:w="612"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59502BA">
                  <w:pPr>
                    <w:keepNext w:val="0"/>
                    <w:keepLines w:val="0"/>
                    <w:pageBreakBefore w:val="0"/>
                    <w:widowControl/>
                    <w:kinsoku/>
                    <w:wordWrap/>
                    <w:overflowPunct/>
                    <w:topLinePunct w:val="0"/>
                    <w:autoSpaceDE/>
                    <w:autoSpaceDN/>
                    <w:bidi w:val="0"/>
                    <w:spacing w:beforeAutospacing="0" w:afterAutospacing="0" w:line="240" w:lineRule="auto"/>
                    <w:ind w:left="0" w:leftChars="0"/>
                    <w:jc w:val="center"/>
                    <w:textAlignment w:val="center"/>
                    <w:rPr>
                      <w:rFonts w:hint="eastAsia" w:ascii="宋体" w:hAnsi="宋体" w:eastAsia="宋体" w:cs="宋体"/>
                      <w:b/>
                      <w:bCs/>
                      <w:sz w:val="22"/>
                      <w:szCs w:val="22"/>
                      <w:highlight w:val="none"/>
                    </w:rPr>
                  </w:pPr>
                  <w:r>
                    <w:rPr>
                      <w:rFonts w:hint="eastAsia" w:ascii="宋体" w:hAnsi="宋体" w:eastAsia="宋体" w:cs="宋体"/>
                      <w:b/>
                      <w:bCs/>
                      <w:sz w:val="22"/>
                      <w:szCs w:val="22"/>
                      <w:highlight w:val="none"/>
                    </w:rPr>
                    <w:t>数量</w:t>
                  </w:r>
                </w:p>
              </w:tc>
              <w:tc>
                <w:tcPr>
                  <w:tcW w:w="628"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D9B4A1D">
                  <w:pPr>
                    <w:keepNext w:val="0"/>
                    <w:keepLines w:val="0"/>
                    <w:pageBreakBefore w:val="0"/>
                    <w:widowControl/>
                    <w:kinsoku/>
                    <w:wordWrap/>
                    <w:overflowPunct/>
                    <w:topLinePunct w:val="0"/>
                    <w:autoSpaceDE/>
                    <w:autoSpaceDN/>
                    <w:bidi w:val="0"/>
                    <w:spacing w:beforeAutospacing="0" w:afterAutospacing="0" w:line="240" w:lineRule="auto"/>
                    <w:ind w:left="0" w:leftChars="0"/>
                    <w:jc w:val="center"/>
                    <w:textAlignment w:val="center"/>
                    <w:rPr>
                      <w:rFonts w:hint="eastAsia" w:ascii="宋体" w:hAnsi="宋体" w:eastAsia="宋体" w:cs="宋体"/>
                      <w:b/>
                      <w:bCs/>
                      <w:sz w:val="22"/>
                      <w:szCs w:val="22"/>
                      <w:highlight w:val="none"/>
                    </w:rPr>
                  </w:pPr>
                  <w:r>
                    <w:rPr>
                      <w:rFonts w:hint="eastAsia" w:ascii="宋体" w:hAnsi="宋体" w:eastAsia="宋体" w:cs="宋体"/>
                      <w:b/>
                      <w:bCs/>
                      <w:sz w:val="22"/>
                      <w:szCs w:val="22"/>
                      <w:highlight w:val="none"/>
                    </w:rPr>
                    <w:t>服务要求</w:t>
                  </w:r>
                </w:p>
              </w:tc>
              <w:tc>
                <w:tcPr>
                  <w:tcW w:w="1067"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C0A606E">
                  <w:pPr>
                    <w:keepNext w:val="0"/>
                    <w:keepLines w:val="0"/>
                    <w:pageBreakBefore w:val="0"/>
                    <w:widowControl/>
                    <w:kinsoku/>
                    <w:wordWrap/>
                    <w:overflowPunct/>
                    <w:topLinePunct w:val="0"/>
                    <w:autoSpaceDE/>
                    <w:autoSpaceDN/>
                    <w:bidi w:val="0"/>
                    <w:spacing w:beforeAutospacing="0" w:afterAutospacing="0" w:line="240" w:lineRule="auto"/>
                    <w:ind w:left="0" w:leftChars="0"/>
                    <w:jc w:val="center"/>
                    <w:textAlignment w:val="center"/>
                    <w:rPr>
                      <w:rFonts w:hint="eastAsia" w:ascii="宋体" w:hAnsi="宋体" w:eastAsia="宋体" w:cs="宋体"/>
                      <w:b/>
                      <w:bCs/>
                      <w:sz w:val="22"/>
                      <w:szCs w:val="22"/>
                      <w:highlight w:val="none"/>
                    </w:rPr>
                  </w:pPr>
                  <w:r>
                    <w:rPr>
                      <w:rFonts w:hint="eastAsia" w:ascii="宋体" w:hAnsi="宋体" w:eastAsia="宋体" w:cs="宋体"/>
                      <w:b/>
                      <w:bCs/>
                      <w:sz w:val="22"/>
                      <w:szCs w:val="22"/>
                      <w:highlight w:val="none"/>
                    </w:rPr>
                    <w:t>服务期</w:t>
                  </w:r>
                </w:p>
              </w:tc>
              <w:tc>
                <w:tcPr>
                  <w:tcW w:w="1208"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ED3B860">
                  <w:pPr>
                    <w:keepNext w:val="0"/>
                    <w:keepLines w:val="0"/>
                    <w:pageBreakBefore w:val="0"/>
                    <w:widowControl/>
                    <w:kinsoku/>
                    <w:wordWrap/>
                    <w:overflowPunct/>
                    <w:topLinePunct w:val="0"/>
                    <w:autoSpaceDE/>
                    <w:autoSpaceDN/>
                    <w:bidi w:val="0"/>
                    <w:spacing w:beforeAutospacing="0" w:afterAutospacing="0" w:line="240" w:lineRule="auto"/>
                    <w:ind w:left="0" w:leftChars="0"/>
                    <w:jc w:val="center"/>
                    <w:textAlignment w:val="center"/>
                    <w:rPr>
                      <w:rFonts w:hint="eastAsia" w:ascii="宋体" w:hAnsi="宋体" w:eastAsia="宋体" w:cs="宋体"/>
                      <w:b/>
                      <w:bCs/>
                      <w:sz w:val="22"/>
                      <w:szCs w:val="22"/>
                      <w:highlight w:val="none"/>
                    </w:rPr>
                  </w:pPr>
                  <w:r>
                    <w:rPr>
                      <w:rFonts w:hint="eastAsia" w:ascii="宋体" w:hAnsi="宋体" w:eastAsia="宋体" w:cs="宋体"/>
                      <w:b/>
                      <w:bCs/>
                      <w:sz w:val="22"/>
                      <w:szCs w:val="22"/>
                      <w:highlight w:val="none"/>
                    </w:rPr>
                    <w:t>预算金额（元）</w:t>
                  </w:r>
                </w:p>
              </w:tc>
            </w:tr>
            <w:tr w14:paraId="095B0A45">
              <w:tblPrEx>
                <w:tblCellMar>
                  <w:top w:w="0" w:type="dxa"/>
                  <w:left w:w="0" w:type="dxa"/>
                  <w:bottom w:w="0" w:type="dxa"/>
                  <w:right w:w="0" w:type="dxa"/>
                </w:tblCellMar>
              </w:tblPrEx>
              <w:trPr>
                <w:trHeight w:val="0" w:hRule="atLeast"/>
              </w:trPr>
              <w:tc>
                <w:tcPr>
                  <w:tcW w:w="432"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F2D16F5">
                  <w:pPr>
                    <w:keepNext w:val="0"/>
                    <w:keepLines w:val="0"/>
                    <w:pageBreakBefore w:val="0"/>
                    <w:kinsoku/>
                    <w:wordWrap/>
                    <w:overflowPunct/>
                    <w:topLinePunct w:val="0"/>
                    <w:autoSpaceDE/>
                    <w:autoSpaceDN/>
                    <w:bidi w:val="0"/>
                    <w:spacing w:beforeAutospacing="0" w:afterAutospacing="0" w:line="240" w:lineRule="auto"/>
                    <w:ind w:left="0" w:leftChars="0"/>
                    <w:jc w:val="center"/>
                    <w:rPr>
                      <w:rFonts w:hint="eastAsia" w:ascii="宋体" w:hAnsi="宋体" w:eastAsia="宋体" w:cs="宋体"/>
                      <w:sz w:val="22"/>
                      <w:szCs w:val="22"/>
                      <w:highlight w:val="none"/>
                    </w:rPr>
                  </w:pPr>
                  <w:r>
                    <w:rPr>
                      <w:rFonts w:hint="eastAsia" w:ascii="宋体" w:hAnsi="宋体" w:eastAsia="宋体" w:cs="宋体"/>
                      <w:sz w:val="22"/>
                      <w:szCs w:val="22"/>
                      <w:highlight w:val="none"/>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744F3F6">
                  <w:pPr>
                    <w:keepNext w:val="0"/>
                    <w:keepLines w:val="0"/>
                    <w:pageBreakBefore w:val="0"/>
                    <w:kinsoku/>
                    <w:wordWrap/>
                    <w:overflowPunct/>
                    <w:topLinePunct w:val="0"/>
                    <w:autoSpaceDE/>
                    <w:autoSpaceDN/>
                    <w:bidi w:val="0"/>
                    <w:spacing w:beforeAutospacing="0" w:afterAutospacing="0" w:line="240" w:lineRule="auto"/>
                    <w:ind w:left="0" w:leftChars="0"/>
                    <w:jc w:val="center"/>
                    <w:rPr>
                      <w:rFonts w:hint="eastAsia" w:ascii="宋体" w:hAnsi="宋体" w:eastAsia="宋体" w:cs="宋体"/>
                      <w:sz w:val="22"/>
                      <w:szCs w:val="22"/>
                      <w:highlight w:val="none"/>
                      <w:lang w:eastAsia="zh-CN"/>
                    </w:rPr>
                  </w:pPr>
                  <w:r>
                    <w:rPr>
                      <w:rFonts w:hint="eastAsia" w:ascii="宋体" w:hAnsi="宋体" w:eastAsia="宋体" w:cs="宋体"/>
                      <w:color w:val="000000"/>
                      <w:sz w:val="22"/>
                      <w:szCs w:val="22"/>
                      <w:highlight w:val="none"/>
                      <w:lang w:eastAsia="zh-CN"/>
                    </w:rPr>
                    <w:t>南岭国家公园候选区科普宣教运维（南岭片区）</w:t>
                  </w:r>
                </w:p>
              </w:tc>
              <w:tc>
                <w:tcPr>
                  <w:tcW w:w="612"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7C30155">
                  <w:pPr>
                    <w:keepNext w:val="0"/>
                    <w:keepLines w:val="0"/>
                    <w:pageBreakBefore w:val="0"/>
                    <w:kinsoku/>
                    <w:wordWrap/>
                    <w:overflowPunct/>
                    <w:topLinePunct w:val="0"/>
                    <w:autoSpaceDE/>
                    <w:autoSpaceDN/>
                    <w:bidi w:val="0"/>
                    <w:spacing w:beforeAutospacing="0" w:afterAutospacing="0" w:line="240" w:lineRule="auto"/>
                    <w:ind w:left="0" w:leftChars="0"/>
                    <w:jc w:val="center"/>
                    <w:rPr>
                      <w:rFonts w:hint="eastAsia" w:ascii="宋体" w:hAnsi="宋体" w:eastAsia="宋体" w:cs="宋体"/>
                      <w:sz w:val="22"/>
                      <w:szCs w:val="22"/>
                      <w:highlight w:val="none"/>
                    </w:rPr>
                  </w:pPr>
                  <w:r>
                    <w:rPr>
                      <w:rFonts w:hint="eastAsia" w:ascii="宋体" w:hAnsi="宋体" w:eastAsia="宋体" w:cs="宋体"/>
                      <w:sz w:val="22"/>
                      <w:szCs w:val="22"/>
                      <w:highlight w:val="none"/>
                    </w:rPr>
                    <w:t>1项</w:t>
                  </w:r>
                </w:p>
              </w:tc>
              <w:tc>
                <w:tcPr>
                  <w:tcW w:w="628"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1E82AB1">
                  <w:pPr>
                    <w:keepNext w:val="0"/>
                    <w:keepLines w:val="0"/>
                    <w:pageBreakBefore w:val="0"/>
                    <w:kinsoku/>
                    <w:wordWrap/>
                    <w:overflowPunct/>
                    <w:topLinePunct w:val="0"/>
                    <w:autoSpaceDE/>
                    <w:autoSpaceDN/>
                    <w:bidi w:val="0"/>
                    <w:spacing w:beforeAutospacing="0" w:afterAutospacing="0" w:line="240" w:lineRule="auto"/>
                    <w:ind w:left="0" w:leftChars="0"/>
                    <w:jc w:val="center"/>
                    <w:rPr>
                      <w:rFonts w:hint="eastAsia" w:ascii="宋体" w:hAnsi="宋体" w:eastAsia="宋体" w:cs="宋体"/>
                      <w:sz w:val="22"/>
                      <w:szCs w:val="22"/>
                      <w:highlight w:val="none"/>
                    </w:rPr>
                  </w:pPr>
                  <w:r>
                    <w:rPr>
                      <w:rFonts w:hint="eastAsia" w:ascii="宋体" w:hAnsi="宋体" w:eastAsia="宋体" w:cs="宋体"/>
                      <w:sz w:val="22"/>
                      <w:szCs w:val="22"/>
                      <w:highlight w:val="none"/>
                    </w:rPr>
                    <w:t>详见本项目服务要求</w:t>
                  </w:r>
                </w:p>
              </w:tc>
              <w:tc>
                <w:tcPr>
                  <w:tcW w:w="1067"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FCF7526">
                  <w:pPr>
                    <w:keepNext w:val="0"/>
                    <w:keepLines w:val="0"/>
                    <w:pageBreakBefore w:val="0"/>
                    <w:kinsoku/>
                    <w:wordWrap/>
                    <w:overflowPunct/>
                    <w:topLinePunct w:val="0"/>
                    <w:autoSpaceDE/>
                    <w:autoSpaceDN/>
                    <w:bidi w:val="0"/>
                    <w:spacing w:beforeAutospacing="0" w:afterAutospacing="0" w:line="240" w:lineRule="auto"/>
                    <w:ind w:left="0" w:leftChars="0"/>
                    <w:jc w:val="center"/>
                    <w:rPr>
                      <w:rFonts w:hint="default"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合同签订之日起至2026年12月31日前完成实施</w:t>
                  </w:r>
                </w:p>
              </w:tc>
              <w:tc>
                <w:tcPr>
                  <w:tcW w:w="1208"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7BE1032">
                  <w:pPr>
                    <w:keepNext w:val="0"/>
                    <w:keepLines w:val="0"/>
                    <w:pageBreakBefore w:val="0"/>
                    <w:kinsoku/>
                    <w:wordWrap/>
                    <w:overflowPunct/>
                    <w:topLinePunct w:val="0"/>
                    <w:autoSpaceDE/>
                    <w:autoSpaceDN/>
                    <w:bidi w:val="0"/>
                    <w:spacing w:beforeAutospacing="0" w:afterAutospacing="0" w:line="360" w:lineRule="auto"/>
                    <w:ind w:left="0" w:leftChars="0"/>
                    <w:jc w:val="center"/>
                    <w:rPr>
                      <w:rFonts w:hint="eastAsia" w:ascii="宋体" w:hAnsi="宋体" w:eastAsia="宋体" w:cs="宋体"/>
                      <w:sz w:val="22"/>
                      <w:szCs w:val="22"/>
                      <w:highlight w:val="none"/>
                      <w:lang w:eastAsia="zh-CN"/>
                    </w:rPr>
                  </w:pPr>
                  <w:r>
                    <w:rPr>
                      <w:rFonts w:hint="eastAsia" w:ascii="宋体" w:hAnsi="宋体" w:eastAsia="宋体" w:cs="宋体"/>
                      <w:sz w:val="22"/>
                      <w:szCs w:val="22"/>
                      <w:highlight w:val="none"/>
                      <w:lang w:val="en-US" w:eastAsia="zh-CN"/>
                    </w:rPr>
                    <w:t>398,000.00</w:t>
                  </w:r>
                </w:p>
              </w:tc>
            </w:tr>
          </w:tbl>
          <w:p w14:paraId="640E1F89">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b/>
                <w:bCs/>
                <w:sz w:val="22"/>
                <w:szCs w:val="22"/>
                <w:highlight w:val="none"/>
                <w:lang w:val="en-US" w:eastAsia="zh-CN"/>
              </w:rPr>
            </w:pPr>
            <w:r>
              <w:rPr>
                <w:rFonts w:hint="eastAsia" w:ascii="宋体" w:hAnsi="宋体" w:eastAsia="宋体" w:cs="宋体"/>
                <w:b/>
                <w:bCs/>
                <w:sz w:val="22"/>
                <w:szCs w:val="22"/>
                <w:highlight w:val="none"/>
                <w:lang w:val="en-US" w:eastAsia="zh-CN"/>
              </w:rPr>
              <w:t>三、采购清单</w:t>
            </w:r>
          </w:p>
          <w:tbl>
            <w:tblPr>
              <w:tblStyle w:val="4"/>
              <w:tblW w:w="483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77"/>
              <w:gridCol w:w="1057"/>
              <w:gridCol w:w="1868"/>
              <w:gridCol w:w="1337"/>
            </w:tblGrid>
            <w:tr w14:paraId="40169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6" w:hRule="atLeast"/>
              </w:trPr>
              <w:tc>
                <w:tcPr>
                  <w:tcW w:w="596" w:type="pct"/>
                  <w:tcBorders>
                    <w:tl2br w:val="nil"/>
                    <w:tr2bl w:val="nil"/>
                  </w:tcBorders>
                  <w:noWrap w:val="0"/>
                  <w:vAlign w:val="center"/>
                </w:tcPr>
                <w:p w14:paraId="1CCB0E30">
                  <w:pPr>
                    <w:jc w:val="center"/>
                    <w:rPr>
                      <w:rFonts w:hint="eastAsia" w:ascii="宋体" w:hAnsi="宋体" w:eastAsia="宋体" w:cs="宋体"/>
                      <w:b/>
                      <w:bCs/>
                      <w:sz w:val="22"/>
                      <w:szCs w:val="22"/>
                      <w:highlight w:val="none"/>
                      <w:lang w:val="en-US" w:eastAsia="zh-CN"/>
                    </w:rPr>
                  </w:pPr>
                  <w:r>
                    <w:rPr>
                      <w:rFonts w:hint="eastAsia" w:ascii="宋体" w:hAnsi="宋体" w:eastAsia="宋体" w:cs="宋体"/>
                      <w:b/>
                      <w:bCs/>
                      <w:sz w:val="22"/>
                      <w:szCs w:val="22"/>
                      <w:highlight w:val="none"/>
                      <w:lang w:val="en-US" w:eastAsia="zh-CN"/>
                    </w:rPr>
                    <w:t>序号</w:t>
                  </w:r>
                </w:p>
              </w:tc>
              <w:tc>
                <w:tcPr>
                  <w:tcW w:w="1092" w:type="pct"/>
                  <w:tcBorders>
                    <w:tl2br w:val="nil"/>
                    <w:tr2bl w:val="nil"/>
                  </w:tcBorders>
                  <w:noWrap w:val="0"/>
                  <w:vAlign w:val="center"/>
                </w:tcPr>
                <w:p w14:paraId="2DB5B61A">
                  <w:pPr>
                    <w:jc w:val="center"/>
                    <w:rPr>
                      <w:rFonts w:hint="eastAsia" w:ascii="宋体" w:hAnsi="宋体" w:eastAsia="宋体" w:cs="宋体"/>
                      <w:b/>
                      <w:bCs/>
                      <w:sz w:val="22"/>
                      <w:szCs w:val="22"/>
                      <w:highlight w:val="none"/>
                      <w:lang w:val="en-US" w:eastAsia="zh-CN"/>
                    </w:rPr>
                  </w:pPr>
                  <w:r>
                    <w:rPr>
                      <w:rFonts w:hint="eastAsia" w:ascii="宋体" w:hAnsi="宋体" w:eastAsia="宋体" w:cs="宋体"/>
                      <w:b/>
                      <w:bCs/>
                      <w:sz w:val="22"/>
                      <w:szCs w:val="22"/>
                      <w:highlight w:val="none"/>
                      <w:lang w:val="en-US" w:eastAsia="zh-CN"/>
                    </w:rPr>
                    <w:t>服务名称</w:t>
                  </w:r>
                </w:p>
              </w:tc>
              <w:tc>
                <w:tcPr>
                  <w:tcW w:w="1930" w:type="pct"/>
                  <w:tcBorders>
                    <w:tl2br w:val="nil"/>
                    <w:tr2bl w:val="nil"/>
                  </w:tcBorders>
                  <w:noWrap w:val="0"/>
                  <w:vAlign w:val="center"/>
                </w:tcPr>
                <w:p w14:paraId="209E1FC9">
                  <w:pPr>
                    <w:jc w:val="center"/>
                    <w:rPr>
                      <w:rFonts w:hint="eastAsia" w:ascii="宋体" w:hAnsi="宋体" w:eastAsia="宋体" w:cs="宋体"/>
                      <w:b/>
                      <w:bCs/>
                      <w:sz w:val="22"/>
                      <w:szCs w:val="22"/>
                      <w:highlight w:val="none"/>
                      <w:lang w:val="en-US" w:eastAsia="zh-CN"/>
                    </w:rPr>
                  </w:pPr>
                  <w:r>
                    <w:rPr>
                      <w:rFonts w:hint="eastAsia" w:ascii="宋体" w:hAnsi="宋体" w:eastAsia="宋体" w:cs="宋体"/>
                      <w:b/>
                      <w:bCs/>
                      <w:sz w:val="22"/>
                      <w:szCs w:val="22"/>
                      <w:highlight w:val="none"/>
                      <w:lang w:val="en-US" w:eastAsia="zh-CN"/>
                    </w:rPr>
                    <w:t>技术服务内容</w:t>
                  </w:r>
                </w:p>
              </w:tc>
              <w:tc>
                <w:tcPr>
                  <w:tcW w:w="1381" w:type="pct"/>
                  <w:tcBorders>
                    <w:tl2br w:val="nil"/>
                    <w:tr2bl w:val="nil"/>
                  </w:tcBorders>
                  <w:noWrap w:val="0"/>
                  <w:vAlign w:val="center"/>
                </w:tcPr>
                <w:p w14:paraId="5D07F7EA">
                  <w:pPr>
                    <w:jc w:val="center"/>
                    <w:rPr>
                      <w:rFonts w:hint="eastAsia" w:ascii="宋体" w:hAnsi="宋体" w:eastAsia="宋体" w:cs="宋体"/>
                      <w:b/>
                      <w:bCs/>
                      <w:sz w:val="22"/>
                      <w:szCs w:val="22"/>
                      <w:highlight w:val="none"/>
                      <w:lang w:val="en-US" w:eastAsia="zh-CN"/>
                    </w:rPr>
                  </w:pPr>
                  <w:r>
                    <w:rPr>
                      <w:rFonts w:hint="eastAsia" w:ascii="宋体" w:hAnsi="宋体" w:eastAsia="宋体" w:cs="宋体"/>
                      <w:b/>
                      <w:bCs/>
                      <w:sz w:val="22"/>
                      <w:szCs w:val="22"/>
                      <w:highlight w:val="none"/>
                      <w:lang w:val="en-US" w:eastAsia="zh-CN"/>
                    </w:rPr>
                    <w:t>单价最高限价（元）</w:t>
                  </w:r>
                </w:p>
              </w:tc>
            </w:tr>
            <w:tr w14:paraId="703D08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596" w:type="pct"/>
                  <w:tcBorders>
                    <w:tl2br w:val="nil"/>
                    <w:tr2bl w:val="nil"/>
                  </w:tcBorders>
                  <w:noWrap w:val="0"/>
                  <w:vAlign w:val="center"/>
                </w:tcPr>
                <w:p w14:paraId="0F24357D">
                  <w:pPr>
                    <w:jc w:val="center"/>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1</w:t>
                  </w:r>
                </w:p>
              </w:tc>
              <w:tc>
                <w:tcPr>
                  <w:tcW w:w="1092" w:type="pct"/>
                  <w:tcBorders>
                    <w:tl2br w:val="nil"/>
                    <w:tr2bl w:val="nil"/>
                  </w:tcBorders>
                  <w:noWrap w:val="0"/>
                  <w:vAlign w:val="center"/>
                </w:tcPr>
                <w:p w14:paraId="077031BC">
                  <w:pPr>
                    <w:jc w:val="center"/>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第五届南岭观鸟嘉年华活动</w:t>
                  </w:r>
                </w:p>
              </w:tc>
              <w:tc>
                <w:tcPr>
                  <w:tcW w:w="1930" w:type="pct"/>
                  <w:tcBorders>
                    <w:tl2br w:val="nil"/>
                    <w:tr2bl w:val="nil"/>
                  </w:tcBorders>
                  <w:noWrap w:val="0"/>
                  <w:vAlign w:val="center"/>
                </w:tcPr>
                <w:p w14:paraId="0662BD7D">
                  <w:pPr>
                    <w:jc w:val="both"/>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开幕式布展、宣传物料等；参赛队员及嘉宾食宿（包括餐饮、住宿、交通、保险等）；特约评委、优秀主持、表演、特约记者等人员劳务费；前期调研、方案编制及活动策划；现场图片及视频直播，活动全程拍摄，宣传稿编写发布等</w:t>
                  </w:r>
                </w:p>
              </w:tc>
              <w:tc>
                <w:tcPr>
                  <w:tcW w:w="1381" w:type="pct"/>
                  <w:tcBorders>
                    <w:tl2br w:val="nil"/>
                    <w:tr2bl w:val="nil"/>
                  </w:tcBorders>
                  <w:noWrap w:val="0"/>
                  <w:vAlign w:val="center"/>
                </w:tcPr>
                <w:p w14:paraId="6D525D2A">
                  <w:pPr>
                    <w:jc w:val="center"/>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268,000.00</w:t>
                  </w:r>
                </w:p>
              </w:tc>
            </w:tr>
            <w:tr w14:paraId="04C092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596" w:type="pct"/>
                  <w:tcBorders>
                    <w:tl2br w:val="nil"/>
                    <w:tr2bl w:val="nil"/>
                  </w:tcBorders>
                  <w:noWrap w:val="0"/>
                  <w:vAlign w:val="center"/>
                </w:tcPr>
                <w:p w14:paraId="49A10C1C">
                  <w:pPr>
                    <w:jc w:val="center"/>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2</w:t>
                  </w:r>
                </w:p>
              </w:tc>
              <w:tc>
                <w:tcPr>
                  <w:tcW w:w="1092" w:type="pct"/>
                  <w:tcBorders>
                    <w:tl2br w:val="nil"/>
                    <w:tr2bl w:val="nil"/>
                  </w:tcBorders>
                  <w:noWrap w:val="0"/>
                  <w:vAlign w:val="center"/>
                </w:tcPr>
                <w:p w14:paraId="4396A16B">
                  <w:pPr>
                    <w:jc w:val="center"/>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南岭观鸟系列自然教育科普活动</w:t>
                  </w:r>
                </w:p>
              </w:tc>
              <w:tc>
                <w:tcPr>
                  <w:tcW w:w="1930" w:type="pct"/>
                  <w:tcBorders>
                    <w:tl2br w:val="nil"/>
                    <w:tr2bl w:val="nil"/>
                  </w:tcBorders>
                  <w:noWrap w:val="0"/>
                  <w:vAlign w:val="center"/>
                </w:tcPr>
                <w:p w14:paraId="35596FFF">
                  <w:pPr>
                    <w:jc w:val="both"/>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每期2名导师，含课程设计与带队；观鸟手册、活动记录本、活动证书、徽章、手工材料、人员保险等</w:t>
                  </w:r>
                </w:p>
              </w:tc>
              <w:tc>
                <w:tcPr>
                  <w:tcW w:w="1381" w:type="pct"/>
                  <w:tcBorders>
                    <w:tl2br w:val="nil"/>
                    <w:tr2bl w:val="nil"/>
                  </w:tcBorders>
                  <w:noWrap w:val="0"/>
                  <w:vAlign w:val="center"/>
                </w:tcPr>
                <w:p w14:paraId="1B591E5B">
                  <w:pPr>
                    <w:jc w:val="center"/>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30,000.00</w:t>
                  </w:r>
                </w:p>
              </w:tc>
            </w:tr>
            <w:tr w14:paraId="301C6D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596" w:type="pct"/>
                  <w:tcBorders>
                    <w:tl2br w:val="nil"/>
                    <w:tr2bl w:val="nil"/>
                  </w:tcBorders>
                  <w:noWrap w:val="0"/>
                  <w:vAlign w:val="center"/>
                </w:tcPr>
                <w:p w14:paraId="6B52823E">
                  <w:pPr>
                    <w:jc w:val="center"/>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3</w:t>
                  </w:r>
                </w:p>
              </w:tc>
              <w:tc>
                <w:tcPr>
                  <w:tcW w:w="1092" w:type="pct"/>
                  <w:tcBorders>
                    <w:tl2br w:val="nil"/>
                    <w:tr2bl w:val="nil"/>
                  </w:tcBorders>
                  <w:noWrap w:val="0"/>
                  <w:vAlign w:val="center"/>
                </w:tcPr>
                <w:p w14:paraId="57E24E09">
                  <w:pPr>
                    <w:jc w:val="center"/>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南岭鸟类监测</w:t>
                  </w:r>
                </w:p>
              </w:tc>
              <w:tc>
                <w:tcPr>
                  <w:tcW w:w="1930" w:type="pct"/>
                  <w:tcBorders>
                    <w:tl2br w:val="nil"/>
                    <w:tr2bl w:val="nil"/>
                  </w:tcBorders>
                  <w:noWrap w:val="0"/>
                  <w:vAlign w:val="center"/>
                </w:tcPr>
                <w:p w14:paraId="05DE2C34">
                  <w:pPr>
                    <w:jc w:val="both"/>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调查队员食宿（包括餐饮、住宿、交通、保险等）；报告编制打印装订</w:t>
                  </w:r>
                </w:p>
              </w:tc>
              <w:tc>
                <w:tcPr>
                  <w:tcW w:w="1381" w:type="pct"/>
                  <w:tcBorders>
                    <w:tl2br w:val="nil"/>
                    <w:tr2bl w:val="nil"/>
                  </w:tcBorders>
                  <w:noWrap w:val="0"/>
                  <w:vAlign w:val="center"/>
                </w:tcPr>
                <w:p w14:paraId="4DE6D10C">
                  <w:pPr>
                    <w:jc w:val="center"/>
                    <w:rPr>
                      <w:rFonts w:hint="eastAsia"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100,000.00</w:t>
                  </w:r>
                </w:p>
              </w:tc>
            </w:tr>
            <w:tr w14:paraId="0E6C8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3618" w:type="pct"/>
                  <w:gridSpan w:val="3"/>
                  <w:tcBorders>
                    <w:tl2br w:val="nil"/>
                    <w:tr2bl w:val="nil"/>
                  </w:tcBorders>
                  <w:noWrap w:val="0"/>
                  <w:vAlign w:val="center"/>
                </w:tcPr>
                <w:p w14:paraId="5EDB4E74">
                  <w:pPr>
                    <w:jc w:val="center"/>
                    <w:rPr>
                      <w:rFonts w:hint="default"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合计</w:t>
                  </w:r>
                </w:p>
              </w:tc>
              <w:tc>
                <w:tcPr>
                  <w:tcW w:w="1381" w:type="pct"/>
                  <w:tcBorders>
                    <w:tl2br w:val="nil"/>
                    <w:tr2bl w:val="nil"/>
                  </w:tcBorders>
                  <w:noWrap w:val="0"/>
                  <w:vAlign w:val="center"/>
                </w:tcPr>
                <w:p w14:paraId="362798C6">
                  <w:pPr>
                    <w:jc w:val="center"/>
                    <w:rPr>
                      <w:rFonts w:hint="default" w:ascii="宋体" w:hAnsi="宋体" w:eastAsia="宋体" w:cs="宋体"/>
                      <w:sz w:val="22"/>
                      <w:szCs w:val="22"/>
                      <w:highlight w:val="none"/>
                      <w:lang w:val="en-US" w:eastAsia="zh-CN"/>
                    </w:rPr>
                  </w:pPr>
                  <w:r>
                    <w:rPr>
                      <w:rFonts w:hint="eastAsia" w:ascii="宋体" w:hAnsi="宋体" w:eastAsia="宋体" w:cs="宋体"/>
                      <w:sz w:val="22"/>
                      <w:szCs w:val="22"/>
                      <w:highlight w:val="none"/>
                      <w:lang w:val="en-US" w:eastAsia="zh-CN"/>
                    </w:rPr>
                    <w:t>398,000.00</w:t>
                  </w:r>
                </w:p>
              </w:tc>
            </w:tr>
          </w:tbl>
          <w:p w14:paraId="3A646E16">
            <w:pPr>
              <w:keepNext w:val="0"/>
              <w:keepLines w:val="0"/>
              <w:pageBreakBefore w:val="0"/>
              <w:kinsoku/>
              <w:wordWrap/>
              <w:overflowPunct/>
              <w:topLinePunct w:val="0"/>
              <w:autoSpaceDE/>
              <w:autoSpaceDN/>
              <w:bidi w:val="0"/>
              <w:spacing w:beforeAutospacing="0" w:afterAutospacing="0" w:line="240" w:lineRule="auto"/>
              <w:ind w:left="0" w:leftChars="0"/>
              <w:jc w:val="left"/>
              <w:rPr>
                <w:rFonts w:hint="eastAsia" w:ascii="宋体" w:hAnsi="宋体" w:eastAsia="宋体" w:cs="宋体"/>
                <w:b/>
                <w:bCs/>
                <w:color w:val="000000"/>
                <w:sz w:val="22"/>
                <w:szCs w:val="22"/>
                <w:highlight w:val="none"/>
                <w:lang w:eastAsia="zh-CN"/>
              </w:rPr>
            </w:pPr>
            <w:r>
              <w:rPr>
                <w:rFonts w:hint="eastAsia" w:ascii="宋体" w:hAnsi="宋体" w:eastAsia="宋体" w:cs="宋体"/>
                <w:b/>
                <w:bCs/>
                <w:sz w:val="20"/>
                <w:szCs w:val="22"/>
                <w:highlight w:val="none"/>
              </w:rPr>
              <w:t>★</w:t>
            </w:r>
            <w:r>
              <w:rPr>
                <w:rFonts w:hint="eastAsia" w:ascii="宋体" w:hAnsi="宋体" w:eastAsia="宋体" w:cs="宋体"/>
                <w:b/>
                <w:bCs/>
                <w:color w:val="000000"/>
                <w:sz w:val="22"/>
                <w:szCs w:val="22"/>
                <w:highlight w:val="none"/>
                <w:lang w:eastAsia="zh-CN"/>
              </w:rPr>
              <w:t>注：</w:t>
            </w:r>
          </w:p>
          <w:p w14:paraId="3DE632BC">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eastAsia="zh-CN"/>
              </w:rPr>
            </w:pPr>
            <w:r>
              <w:rPr>
                <w:rFonts w:hint="eastAsia" w:ascii="宋体" w:hAnsi="宋体" w:eastAsia="宋体" w:cs="宋体"/>
                <w:color w:val="000000"/>
                <w:sz w:val="22"/>
                <w:szCs w:val="22"/>
                <w:highlight w:val="none"/>
                <w:lang w:eastAsia="zh-CN"/>
              </w:rPr>
              <w:t>1</w:t>
            </w:r>
            <w:r>
              <w:rPr>
                <w:rFonts w:hint="eastAsia" w:ascii="宋体" w:hAnsi="宋体" w:eastAsia="宋体" w:cs="宋体"/>
                <w:color w:val="000000"/>
                <w:sz w:val="22"/>
                <w:szCs w:val="22"/>
                <w:highlight w:val="none"/>
                <w:lang w:val="en-US" w:eastAsia="zh-CN"/>
              </w:rPr>
              <w:t>.报价超出单价最高限价（保留小数点后两位）或预算金额的列为无效响应处理。</w:t>
            </w:r>
          </w:p>
          <w:p w14:paraId="78F24DF6">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eastAsia="zh-CN"/>
              </w:rPr>
            </w:pPr>
            <w:r>
              <w:rPr>
                <w:rFonts w:hint="eastAsia" w:ascii="宋体" w:hAnsi="宋体" w:eastAsia="宋体" w:cs="宋体"/>
                <w:color w:val="000000"/>
                <w:sz w:val="22"/>
                <w:szCs w:val="22"/>
                <w:highlight w:val="none"/>
                <w:lang w:eastAsia="zh-CN"/>
              </w:rPr>
              <w:t>2</w:t>
            </w:r>
            <w:r>
              <w:rPr>
                <w:rFonts w:hint="eastAsia" w:ascii="宋体" w:hAnsi="宋体" w:eastAsia="宋体" w:cs="宋体"/>
                <w:color w:val="000000"/>
                <w:sz w:val="22"/>
                <w:szCs w:val="22"/>
                <w:highlight w:val="none"/>
                <w:lang w:val="en-US" w:eastAsia="zh-CN"/>
              </w:rPr>
              <w:t>.</w:t>
            </w:r>
            <w:r>
              <w:rPr>
                <w:rFonts w:hint="eastAsia" w:ascii="宋体" w:hAnsi="宋体" w:eastAsia="宋体" w:cs="宋体"/>
                <w:color w:val="000000"/>
                <w:sz w:val="22"/>
                <w:szCs w:val="22"/>
                <w:highlight w:val="none"/>
                <w:lang w:eastAsia="zh-CN"/>
              </w:rPr>
              <w:t>供应商必须对本项目的全部内容进行报价，如有缺漏，将导致无效响应。</w:t>
            </w:r>
          </w:p>
          <w:p w14:paraId="71111B06">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b/>
                <w:bCs/>
                <w:sz w:val="22"/>
                <w:szCs w:val="22"/>
                <w:highlight w:val="none"/>
              </w:rPr>
            </w:pPr>
            <w:r>
              <w:rPr>
                <w:rFonts w:hint="eastAsia" w:ascii="宋体" w:hAnsi="宋体" w:eastAsia="宋体" w:cs="宋体"/>
                <w:color w:val="000000"/>
                <w:sz w:val="22"/>
                <w:szCs w:val="22"/>
                <w:highlight w:val="none"/>
                <w:lang w:eastAsia="zh-CN"/>
              </w:rPr>
              <w:t>3</w:t>
            </w:r>
            <w:r>
              <w:rPr>
                <w:rFonts w:hint="eastAsia" w:ascii="宋体" w:hAnsi="宋体" w:eastAsia="宋体" w:cs="宋体"/>
                <w:color w:val="000000"/>
                <w:sz w:val="22"/>
                <w:szCs w:val="22"/>
                <w:highlight w:val="none"/>
                <w:lang w:val="en-US" w:eastAsia="zh-CN"/>
              </w:rPr>
              <w:t>.</w:t>
            </w:r>
            <w:r>
              <w:rPr>
                <w:rFonts w:hint="eastAsia" w:ascii="宋体" w:hAnsi="宋体" w:eastAsia="宋体" w:cs="宋体"/>
                <w:color w:val="000000"/>
                <w:sz w:val="22"/>
                <w:szCs w:val="22"/>
                <w:highlight w:val="none"/>
                <w:lang w:eastAsia="zh-CN"/>
              </w:rPr>
              <w:t>报价应为人民币含税全包价，</w:t>
            </w:r>
            <w:r>
              <w:rPr>
                <w:rFonts w:hint="eastAsia" w:ascii="宋体" w:hAnsi="宋体" w:eastAsia="宋体" w:cs="宋体"/>
                <w:color w:val="000000"/>
                <w:sz w:val="22"/>
                <w:szCs w:val="22"/>
                <w:highlight w:val="none"/>
                <w:lang w:val="en-US" w:eastAsia="zh-CN"/>
              </w:rPr>
              <w:t>包括服务活动中产生的一切费用，包含但不限于策划、制作、材料、劳务、宣传、外业调查、保险、税费等不可预见费用</w:t>
            </w:r>
            <w:r>
              <w:rPr>
                <w:rFonts w:hint="eastAsia" w:ascii="宋体" w:hAnsi="宋体" w:eastAsia="宋体" w:cs="宋体"/>
                <w:color w:val="000000"/>
                <w:sz w:val="22"/>
                <w:szCs w:val="22"/>
                <w:highlight w:val="none"/>
                <w:lang w:eastAsia="zh-CN"/>
              </w:rPr>
              <w:t>。</w:t>
            </w:r>
          </w:p>
          <w:p w14:paraId="0124D8A7">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ind w:left="482" w:leftChars="0"/>
              <w:textAlignment w:val="auto"/>
              <w:rPr>
                <w:rFonts w:hint="eastAsia" w:ascii="宋体" w:hAnsi="宋体" w:eastAsia="宋体" w:cs="宋体"/>
                <w:b/>
                <w:bCs/>
                <w:kern w:val="2"/>
                <w:sz w:val="22"/>
                <w:szCs w:val="22"/>
                <w:highlight w:val="none"/>
                <w:lang w:val="en-US" w:eastAsia="zh-CN" w:bidi="ar-SA"/>
              </w:rPr>
            </w:pPr>
            <w:r>
              <w:rPr>
                <w:rFonts w:hint="eastAsia" w:ascii="宋体" w:hAnsi="宋体" w:eastAsia="宋体" w:cs="宋体"/>
                <w:b/>
                <w:bCs/>
                <w:kern w:val="2"/>
                <w:sz w:val="22"/>
                <w:szCs w:val="22"/>
                <w:highlight w:val="none"/>
                <w:lang w:val="en-US" w:eastAsia="zh-CN" w:bidi="ar-SA"/>
              </w:rPr>
              <w:t>四、采购项目技术要求</w:t>
            </w:r>
          </w:p>
          <w:p w14:paraId="2558742B">
            <w:pPr>
              <w:pStyle w:val="10"/>
              <w:keepNext w:val="0"/>
              <w:keepLines w:val="0"/>
              <w:pageBreakBefore w:val="0"/>
              <w:widowControl/>
              <w:numPr>
                <w:ilvl w:val="0"/>
                <w:numId w:val="0"/>
              </w:numPr>
              <w:tabs>
                <w:tab w:val="left" w:pos="540"/>
              </w:tabs>
              <w:kinsoku/>
              <w:wordWrap/>
              <w:overflowPunct/>
              <w:topLinePunct w:val="0"/>
              <w:autoSpaceDE/>
              <w:autoSpaceDN/>
              <w:bidi w:val="0"/>
              <w:adjustRightInd/>
              <w:snapToGrid w:val="0"/>
              <w:spacing w:beforeAutospacing="0" w:afterAutospacing="0" w:line="240" w:lineRule="auto"/>
              <w:ind w:left="0" w:firstLine="221" w:firstLineChars="100"/>
              <w:textAlignment w:val="baseline"/>
              <w:rPr>
                <w:rFonts w:hint="eastAsia" w:ascii="宋体" w:hAnsi="宋体" w:eastAsia="宋体" w:cs="宋体"/>
                <w:b/>
                <w:bCs/>
                <w:kern w:val="2"/>
                <w:sz w:val="22"/>
                <w:szCs w:val="22"/>
                <w:highlight w:val="none"/>
                <w:lang w:val="en-US" w:eastAsia="zh-CN" w:bidi="ar-SA"/>
              </w:rPr>
            </w:pPr>
            <w:r>
              <w:rPr>
                <w:rFonts w:hint="eastAsia" w:ascii="宋体" w:hAnsi="宋体" w:eastAsia="宋体" w:cs="宋体"/>
                <w:b/>
                <w:bCs/>
                <w:kern w:val="2"/>
                <w:sz w:val="22"/>
                <w:szCs w:val="22"/>
                <w:highlight w:val="none"/>
                <w:lang w:val="en-US" w:eastAsia="zh-CN" w:bidi="ar-SA"/>
              </w:rPr>
              <w:t>（一）第五届南岭观鸟嘉年华活动</w:t>
            </w:r>
          </w:p>
          <w:p w14:paraId="4102AC59">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eastAsia" w:ascii="宋体" w:hAnsi="宋体" w:eastAsia="宋体" w:cs="宋体"/>
                <w:kern w:val="2"/>
                <w:sz w:val="22"/>
                <w:szCs w:val="22"/>
                <w:highlight w:val="none"/>
                <w:lang w:val="en-US" w:eastAsia="zh-CN" w:bidi="ar-SA"/>
              </w:rPr>
            </w:pPr>
            <w:r>
              <w:rPr>
                <w:rFonts w:hint="eastAsia" w:ascii="宋体" w:hAnsi="宋体" w:eastAsia="宋体" w:cs="宋体"/>
                <w:kern w:val="2"/>
                <w:sz w:val="22"/>
                <w:szCs w:val="22"/>
                <w:highlight w:val="none"/>
                <w:lang w:val="en-US" w:eastAsia="zh-CN" w:bidi="ar-SA"/>
              </w:rPr>
              <w:t>1.活动内容</w:t>
            </w:r>
          </w:p>
          <w:p w14:paraId="6405ADB8">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default" w:ascii="宋体" w:hAnsi="宋体" w:eastAsia="宋体" w:cs="宋体"/>
                <w:kern w:val="2"/>
                <w:sz w:val="22"/>
                <w:szCs w:val="22"/>
                <w:highlight w:val="none"/>
                <w:lang w:val="en-US" w:eastAsia="zh-CN" w:bidi="ar-SA"/>
              </w:rPr>
            </w:pPr>
            <w:r>
              <w:rPr>
                <w:rFonts w:hint="eastAsia" w:ascii="宋体" w:hAnsi="宋体" w:eastAsia="宋体" w:cs="宋体"/>
                <w:kern w:val="2"/>
                <w:sz w:val="22"/>
                <w:szCs w:val="22"/>
                <w:highlight w:val="none"/>
                <w:lang w:val="en-US" w:eastAsia="zh-CN" w:bidi="ar-SA"/>
              </w:rPr>
              <w:t>（1）</w:t>
            </w:r>
            <w:r>
              <w:rPr>
                <w:rFonts w:hint="default" w:ascii="宋体" w:hAnsi="宋体" w:eastAsia="宋体" w:cs="宋体"/>
                <w:kern w:val="2"/>
                <w:sz w:val="22"/>
                <w:szCs w:val="22"/>
                <w:highlight w:val="none"/>
                <w:lang w:val="en-US" w:eastAsia="zh-CN" w:bidi="ar-SA"/>
              </w:rPr>
              <w:t>开幕仪式。包括生态建设成果宣传片播放、领导致辞、代表发言、启动仪式等环节。</w:t>
            </w:r>
          </w:p>
          <w:p w14:paraId="1AC09841">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default" w:ascii="宋体" w:hAnsi="宋体" w:eastAsia="宋体" w:cs="宋体"/>
                <w:kern w:val="2"/>
                <w:sz w:val="22"/>
                <w:szCs w:val="22"/>
                <w:highlight w:val="none"/>
                <w:lang w:val="en-US" w:eastAsia="zh-CN" w:bidi="ar-SA"/>
              </w:rPr>
            </w:pPr>
            <w:r>
              <w:rPr>
                <w:rFonts w:hint="eastAsia" w:ascii="宋体" w:hAnsi="宋体" w:eastAsia="宋体" w:cs="宋体"/>
                <w:kern w:val="2"/>
                <w:sz w:val="22"/>
                <w:szCs w:val="22"/>
                <w:highlight w:val="none"/>
                <w:lang w:val="en-US" w:eastAsia="zh-CN" w:bidi="ar-SA"/>
              </w:rPr>
              <w:t>（2）</w:t>
            </w:r>
            <w:r>
              <w:rPr>
                <w:rFonts w:hint="default" w:ascii="宋体" w:hAnsi="宋体" w:eastAsia="宋体" w:cs="宋体"/>
                <w:kern w:val="2"/>
                <w:sz w:val="22"/>
                <w:szCs w:val="22"/>
                <w:highlight w:val="none"/>
                <w:lang w:val="en-US" w:eastAsia="zh-CN" w:bidi="ar-SA"/>
              </w:rPr>
              <w:t>观鸟比赛。观鸟比赛由来自各地的观鸟爱好者组成不同队伍，在划定的赛区范围和时间范围内，各自开展观鸟活动，并记录和提交所遇到的鸟种，最后对各队结果进行评审。</w:t>
            </w:r>
          </w:p>
          <w:p w14:paraId="06055782">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default" w:ascii="宋体" w:hAnsi="宋体" w:eastAsia="宋体" w:cs="宋体"/>
                <w:kern w:val="2"/>
                <w:sz w:val="22"/>
                <w:szCs w:val="22"/>
                <w:highlight w:val="none"/>
                <w:lang w:val="en-US" w:eastAsia="zh-CN" w:bidi="ar-SA"/>
              </w:rPr>
            </w:pPr>
            <w:r>
              <w:rPr>
                <w:rFonts w:hint="eastAsia" w:ascii="宋体" w:hAnsi="宋体" w:eastAsia="宋体" w:cs="宋体"/>
                <w:kern w:val="2"/>
                <w:sz w:val="22"/>
                <w:szCs w:val="22"/>
                <w:highlight w:val="none"/>
                <w:lang w:val="en-US" w:eastAsia="zh-CN" w:bidi="ar-SA"/>
              </w:rPr>
              <w:t>（3）</w:t>
            </w:r>
            <w:r>
              <w:rPr>
                <w:rFonts w:hint="default" w:ascii="宋体" w:hAnsi="宋体" w:eastAsia="宋体" w:cs="宋体"/>
                <w:kern w:val="2"/>
                <w:sz w:val="22"/>
                <w:szCs w:val="22"/>
                <w:highlight w:val="none"/>
                <w:lang w:val="en-US" w:eastAsia="zh-CN" w:bidi="ar-SA"/>
              </w:rPr>
              <w:t>鸟类科普。包括鸟类科普图片展、公众观鸟导赏等公众参与性活动。</w:t>
            </w:r>
          </w:p>
          <w:p w14:paraId="379E9818">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eastAsia" w:hAnsi="宋体" w:eastAsia="宋体" w:cs="宋体"/>
                <w:b w:val="0"/>
                <w:bCs w:val="0"/>
                <w:sz w:val="22"/>
                <w:szCs w:val="22"/>
                <w:highlight w:val="none"/>
                <w:lang w:val="en-US" w:eastAsia="zh-CN"/>
              </w:rPr>
            </w:pPr>
            <w:r>
              <w:rPr>
                <w:rFonts w:hint="eastAsia" w:hAnsi="宋体" w:eastAsia="宋体" w:cs="宋体"/>
                <w:b w:val="0"/>
                <w:bCs w:val="0"/>
                <w:sz w:val="22"/>
                <w:szCs w:val="22"/>
                <w:highlight w:val="none"/>
                <w:lang w:val="en-US" w:eastAsia="zh-CN"/>
              </w:rPr>
              <w:t>2.活动安排</w:t>
            </w:r>
          </w:p>
          <w:p w14:paraId="7C2C1B8C">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eastAsia" w:ascii="宋体" w:hAnsi="宋体" w:eastAsia="宋体" w:cs="宋体"/>
                <w:b w:val="0"/>
                <w:bCs w:val="0"/>
                <w:kern w:val="2"/>
                <w:sz w:val="22"/>
                <w:szCs w:val="22"/>
                <w:highlight w:val="none"/>
                <w:lang w:val="en-US" w:eastAsia="zh-CN" w:bidi="ar-SA"/>
              </w:rPr>
            </w:pPr>
            <w:r>
              <w:rPr>
                <w:rFonts w:hint="eastAsia" w:ascii="宋体" w:hAnsi="宋体" w:eastAsia="宋体" w:cs="宋体"/>
                <w:b w:val="0"/>
                <w:bCs w:val="0"/>
                <w:kern w:val="2"/>
                <w:sz w:val="22"/>
                <w:szCs w:val="22"/>
                <w:highlight w:val="none"/>
                <w:lang w:val="en-US" w:eastAsia="zh-CN" w:bidi="ar-SA"/>
              </w:rPr>
              <w:t>时间：2026年4月中下旬（根据实际情况作合理调整）</w:t>
            </w:r>
          </w:p>
          <w:p w14:paraId="3A3C476F">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default" w:ascii="宋体" w:hAnsi="宋体" w:eastAsia="宋体" w:cs="宋体"/>
                <w:b w:val="0"/>
                <w:bCs w:val="0"/>
                <w:kern w:val="2"/>
                <w:sz w:val="22"/>
                <w:szCs w:val="22"/>
                <w:highlight w:val="none"/>
                <w:lang w:val="en-US" w:eastAsia="zh-CN" w:bidi="ar-SA"/>
              </w:rPr>
            </w:pPr>
            <w:r>
              <w:rPr>
                <w:rFonts w:hint="eastAsia" w:ascii="宋体" w:hAnsi="宋体" w:eastAsia="宋体" w:cs="宋体"/>
                <w:b w:val="0"/>
                <w:bCs w:val="0"/>
                <w:kern w:val="2"/>
                <w:sz w:val="22"/>
                <w:szCs w:val="22"/>
                <w:highlight w:val="none"/>
                <w:lang w:val="en-US" w:eastAsia="zh-CN" w:bidi="ar-SA"/>
              </w:rPr>
              <w:t>地点：南岭国家公园候选区南岭片区及周边，包括南水湖国家湿地公园、西京古道等区域。</w:t>
            </w:r>
          </w:p>
          <w:p w14:paraId="0F81ED0B">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eastAsia" w:ascii="宋体" w:hAnsi="宋体" w:eastAsia="宋体" w:cs="宋体"/>
                <w:b w:val="0"/>
                <w:bCs w:val="0"/>
                <w:kern w:val="2"/>
                <w:sz w:val="22"/>
                <w:szCs w:val="22"/>
                <w:highlight w:val="none"/>
                <w:lang w:val="en-US" w:eastAsia="zh-CN" w:bidi="ar-SA"/>
              </w:rPr>
            </w:pPr>
            <w:r>
              <w:rPr>
                <w:rFonts w:hint="eastAsia" w:ascii="宋体" w:hAnsi="宋体" w:eastAsia="宋体" w:cs="宋体"/>
                <w:b w:val="0"/>
                <w:bCs w:val="0"/>
                <w:kern w:val="2"/>
                <w:sz w:val="22"/>
                <w:szCs w:val="22"/>
                <w:highlight w:val="none"/>
                <w:lang w:val="en-US" w:eastAsia="zh-CN" w:bidi="ar-SA"/>
              </w:rPr>
              <w:t>规模：总规模限制1000人内。</w:t>
            </w:r>
          </w:p>
          <w:p w14:paraId="72FF3F30">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eastAsia" w:ascii="宋体" w:hAnsi="宋体" w:eastAsia="宋体" w:cs="宋体"/>
                <w:kern w:val="2"/>
                <w:sz w:val="22"/>
                <w:szCs w:val="22"/>
                <w:highlight w:val="none"/>
                <w:lang w:val="en-US" w:eastAsia="zh-CN" w:bidi="ar-SA"/>
              </w:rPr>
            </w:pPr>
            <w:r>
              <w:rPr>
                <w:rFonts w:hint="eastAsia" w:ascii="宋体" w:hAnsi="宋体" w:eastAsia="宋体" w:cs="宋体"/>
                <w:kern w:val="2"/>
                <w:sz w:val="22"/>
                <w:szCs w:val="22"/>
                <w:highlight w:val="none"/>
                <w:lang w:val="en-US" w:eastAsia="zh-CN" w:bidi="ar-SA"/>
              </w:rPr>
              <w:t>观鸟比赛活动总人数在200人，来自国内各省份，包括15支专业参赛队，评委、司机兼向导、承办工作团队、媒体人员等；</w:t>
            </w:r>
          </w:p>
          <w:p w14:paraId="62CF0121">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eastAsia" w:ascii="宋体" w:hAnsi="宋体" w:eastAsia="宋体" w:cs="宋体"/>
                <w:b w:val="0"/>
                <w:bCs w:val="0"/>
                <w:kern w:val="2"/>
                <w:sz w:val="22"/>
                <w:szCs w:val="22"/>
                <w:highlight w:val="none"/>
                <w:lang w:val="en-US" w:eastAsia="zh-CN" w:bidi="ar-SA"/>
              </w:rPr>
            </w:pPr>
            <w:r>
              <w:rPr>
                <w:rFonts w:hint="eastAsia" w:ascii="宋体" w:hAnsi="宋体" w:eastAsia="宋体" w:cs="宋体"/>
                <w:b w:val="0"/>
                <w:bCs w:val="0"/>
                <w:kern w:val="2"/>
                <w:sz w:val="22"/>
                <w:szCs w:val="22"/>
                <w:highlight w:val="none"/>
                <w:lang w:val="en-US" w:eastAsia="zh-CN" w:bidi="ar-SA"/>
              </w:rPr>
              <w:t>开幕式活动人数限800人内。包括：中小学生、公众等。</w:t>
            </w:r>
          </w:p>
          <w:p w14:paraId="0495AAB7">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default" w:ascii="宋体" w:hAnsi="宋体" w:eastAsia="宋体" w:cs="宋体"/>
                <w:b w:val="0"/>
                <w:bCs w:val="0"/>
                <w:kern w:val="2"/>
                <w:sz w:val="22"/>
                <w:szCs w:val="22"/>
                <w:highlight w:val="none"/>
                <w:lang w:val="en-US" w:eastAsia="zh-CN" w:bidi="ar-SA"/>
              </w:rPr>
            </w:pPr>
            <w:r>
              <w:rPr>
                <w:rFonts w:hint="eastAsia" w:ascii="宋体" w:hAnsi="宋体" w:eastAsia="宋体" w:cs="宋体"/>
                <w:b w:val="0"/>
                <w:bCs w:val="0"/>
                <w:kern w:val="2"/>
                <w:sz w:val="22"/>
                <w:szCs w:val="22"/>
                <w:highlight w:val="none"/>
                <w:lang w:val="en-US" w:eastAsia="zh-CN" w:bidi="ar-SA"/>
              </w:rPr>
              <w:t>3.</w:t>
            </w:r>
            <w:r>
              <w:rPr>
                <w:rFonts w:hint="default" w:ascii="宋体" w:hAnsi="宋体" w:eastAsia="宋体" w:cs="宋体"/>
                <w:b w:val="0"/>
                <w:bCs w:val="0"/>
                <w:kern w:val="2"/>
                <w:sz w:val="22"/>
                <w:szCs w:val="22"/>
                <w:highlight w:val="none"/>
                <w:lang w:val="en-US" w:eastAsia="zh-CN" w:bidi="ar-SA"/>
              </w:rPr>
              <w:t>活动流程</w:t>
            </w:r>
            <w:r>
              <w:rPr>
                <w:rFonts w:hint="eastAsia" w:ascii="宋体" w:hAnsi="宋体" w:eastAsia="宋体" w:cs="宋体"/>
                <w:b w:val="0"/>
                <w:bCs w:val="0"/>
                <w:kern w:val="2"/>
                <w:sz w:val="22"/>
                <w:szCs w:val="22"/>
                <w:highlight w:val="none"/>
                <w:lang w:val="en-US" w:eastAsia="zh-CN" w:bidi="ar-SA"/>
              </w:rPr>
              <w:t>（包含但不限于以下内容）</w:t>
            </w:r>
          </w:p>
          <w:p w14:paraId="4ABC6CF3">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第一天 参赛队员及领导嘉宾签到；</w:t>
            </w:r>
          </w:p>
          <w:p w14:paraId="5B6C664E">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第二天 开幕式活动，启动观鸟比赛；</w:t>
            </w:r>
          </w:p>
          <w:p w14:paraId="32A0CDDB">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第三天 观鸟比赛活动；</w:t>
            </w:r>
          </w:p>
          <w:p w14:paraId="39B2C07E">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第四天 观鸟比赛活动，评委答辩；</w:t>
            </w:r>
          </w:p>
          <w:p w14:paraId="5A61A062">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第五天 闭幕式活动及返程。</w:t>
            </w:r>
          </w:p>
          <w:p w14:paraId="7A318C95">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default" w:ascii="宋体" w:hAnsi="宋体" w:eastAsia="宋体" w:cs="宋体"/>
                <w:b w:val="0"/>
                <w:bCs w:val="0"/>
                <w:kern w:val="2"/>
                <w:sz w:val="22"/>
                <w:szCs w:val="22"/>
                <w:highlight w:val="none"/>
                <w:lang w:val="en-US" w:eastAsia="zh-CN" w:bidi="ar-SA"/>
              </w:rPr>
            </w:pPr>
            <w:r>
              <w:rPr>
                <w:rFonts w:hint="eastAsia" w:ascii="宋体" w:hAnsi="宋体" w:eastAsia="宋体" w:cs="宋体"/>
                <w:b w:val="0"/>
                <w:bCs w:val="0"/>
                <w:kern w:val="2"/>
                <w:sz w:val="22"/>
                <w:szCs w:val="22"/>
                <w:highlight w:val="none"/>
                <w:lang w:val="en-US" w:eastAsia="zh-CN" w:bidi="ar-SA"/>
              </w:rPr>
              <w:t>4.</w:t>
            </w:r>
            <w:r>
              <w:rPr>
                <w:rFonts w:hint="default" w:ascii="宋体" w:hAnsi="宋体" w:eastAsia="宋体" w:cs="宋体"/>
                <w:b w:val="0"/>
                <w:bCs w:val="0"/>
                <w:kern w:val="2"/>
                <w:sz w:val="22"/>
                <w:szCs w:val="22"/>
                <w:highlight w:val="none"/>
                <w:lang w:val="en-US" w:eastAsia="zh-CN" w:bidi="ar-SA"/>
              </w:rPr>
              <w:t>比赛规则</w:t>
            </w:r>
          </w:p>
          <w:p w14:paraId="5B10E381">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default" w:ascii="宋体" w:hAnsi="宋体" w:eastAsia="宋体" w:cs="宋体"/>
                <w:kern w:val="2"/>
                <w:sz w:val="22"/>
                <w:szCs w:val="22"/>
                <w:highlight w:val="none"/>
                <w:lang w:val="en-US" w:eastAsia="zh-CN" w:bidi="ar-SA"/>
              </w:rPr>
            </w:pPr>
            <w:r>
              <w:rPr>
                <w:rFonts w:hint="eastAsia" w:ascii="宋体" w:hAnsi="宋体" w:eastAsia="宋体" w:cs="宋体"/>
                <w:kern w:val="2"/>
                <w:sz w:val="22"/>
                <w:szCs w:val="22"/>
                <w:highlight w:val="none"/>
                <w:lang w:val="en-US" w:eastAsia="zh-CN" w:bidi="ar-SA"/>
              </w:rPr>
              <w:t>（1）</w:t>
            </w:r>
            <w:r>
              <w:rPr>
                <w:rFonts w:hint="default" w:ascii="宋体" w:hAnsi="宋体" w:eastAsia="宋体" w:cs="宋体"/>
                <w:kern w:val="2"/>
                <w:sz w:val="22"/>
                <w:szCs w:val="22"/>
                <w:highlight w:val="none"/>
                <w:lang w:val="en-US" w:eastAsia="zh-CN" w:bidi="ar-SA"/>
              </w:rPr>
              <w:t>观鸟比赛鸟种记录提交规则</w:t>
            </w:r>
          </w:p>
          <w:p w14:paraId="497CC710">
            <w:pPr>
              <w:pStyle w:val="17"/>
              <w:keepNext w:val="0"/>
              <w:keepLines w:val="0"/>
              <w:pageBreakBefore w:val="0"/>
              <w:numPr>
                <w:ilvl w:val="0"/>
                <w:numId w:val="2"/>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比赛开始前提交预测鸟种数，结束前提交本队至尊鸟种；</w:t>
            </w:r>
          </w:p>
          <w:p w14:paraId="59CDD909">
            <w:pPr>
              <w:pStyle w:val="17"/>
              <w:keepNext w:val="0"/>
              <w:keepLines w:val="0"/>
              <w:pageBreakBefore w:val="0"/>
              <w:numPr>
                <w:ilvl w:val="0"/>
                <w:numId w:val="2"/>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本队2人及以上目击并能确认鸟种可提交记录，包括数量；</w:t>
            </w:r>
          </w:p>
          <w:p w14:paraId="201B31B2">
            <w:pPr>
              <w:pStyle w:val="17"/>
              <w:keepNext w:val="0"/>
              <w:keepLines w:val="0"/>
              <w:pageBreakBefore w:val="0"/>
              <w:numPr>
                <w:ilvl w:val="0"/>
                <w:numId w:val="2"/>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在不同区域重复遇见的鸟种，需重复提交记录，包括数量；</w:t>
            </w:r>
          </w:p>
          <w:p w14:paraId="2BF6224A">
            <w:pPr>
              <w:pStyle w:val="17"/>
              <w:keepNext w:val="0"/>
              <w:keepLines w:val="0"/>
              <w:pageBreakBefore w:val="0"/>
              <w:numPr>
                <w:ilvl w:val="0"/>
                <w:numId w:val="2"/>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重要及少见鸟种需要现场图片或录音以证明记录真实；</w:t>
            </w:r>
          </w:p>
          <w:p w14:paraId="62EE98BE">
            <w:pPr>
              <w:pStyle w:val="17"/>
              <w:keepNext w:val="0"/>
              <w:keepLines w:val="0"/>
              <w:pageBreakBefore w:val="0"/>
              <w:numPr>
                <w:ilvl w:val="0"/>
                <w:numId w:val="2"/>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谢绝使用鸟鸣录音资料回放诱引鸟类；</w:t>
            </w:r>
          </w:p>
          <w:p w14:paraId="5F44D21C">
            <w:pPr>
              <w:pStyle w:val="17"/>
              <w:keepNext w:val="0"/>
              <w:keepLines w:val="0"/>
              <w:pageBreakBefore w:val="0"/>
              <w:numPr>
                <w:ilvl w:val="0"/>
                <w:numId w:val="2"/>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接受专家组质疑，认真答辩；</w:t>
            </w:r>
          </w:p>
          <w:p w14:paraId="20A53C33">
            <w:pPr>
              <w:pStyle w:val="17"/>
              <w:keepNext w:val="0"/>
              <w:keepLines w:val="0"/>
              <w:pageBreakBefore w:val="0"/>
              <w:numPr>
                <w:ilvl w:val="0"/>
                <w:numId w:val="2"/>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经专家判定的谬误鸟种超过10种的队伍，取消全组成绩。</w:t>
            </w:r>
          </w:p>
          <w:p w14:paraId="1235EF9C">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default" w:ascii="宋体" w:hAnsi="宋体" w:eastAsia="宋体" w:cs="宋体"/>
                <w:kern w:val="2"/>
                <w:sz w:val="22"/>
                <w:szCs w:val="22"/>
                <w:highlight w:val="none"/>
                <w:lang w:val="en-US" w:eastAsia="zh-CN" w:bidi="ar-SA"/>
              </w:rPr>
            </w:pPr>
            <w:r>
              <w:rPr>
                <w:rFonts w:hint="eastAsia" w:ascii="宋体" w:hAnsi="宋体" w:eastAsia="宋体" w:cs="宋体"/>
                <w:kern w:val="2"/>
                <w:sz w:val="22"/>
                <w:szCs w:val="22"/>
                <w:highlight w:val="none"/>
                <w:lang w:val="en-US" w:eastAsia="zh-CN" w:bidi="ar-SA"/>
              </w:rPr>
              <w:t>（2）</w:t>
            </w:r>
            <w:r>
              <w:rPr>
                <w:rFonts w:hint="default" w:ascii="宋体" w:hAnsi="宋体" w:eastAsia="宋体" w:cs="宋体"/>
                <w:kern w:val="2"/>
                <w:sz w:val="22"/>
                <w:szCs w:val="22"/>
                <w:highlight w:val="none"/>
                <w:lang w:val="en-US" w:eastAsia="zh-CN" w:bidi="ar-SA"/>
              </w:rPr>
              <w:t>观鸟比赛成绩指标（在评委专家讨论确定的前提下）</w:t>
            </w:r>
          </w:p>
          <w:p w14:paraId="0EB6AB7F">
            <w:pPr>
              <w:pStyle w:val="17"/>
              <w:keepNext w:val="0"/>
              <w:keepLines w:val="0"/>
              <w:pageBreakBefore w:val="0"/>
              <w:numPr>
                <w:ilvl w:val="0"/>
                <w:numId w:val="3"/>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赛程规定时间内记录鸟种最多的队伍排行（优胜奖）</w:t>
            </w:r>
          </w:p>
          <w:p w14:paraId="24B2D9B5">
            <w:pPr>
              <w:pStyle w:val="17"/>
              <w:keepNext w:val="0"/>
              <w:keepLines w:val="0"/>
              <w:pageBreakBefore w:val="0"/>
              <w:numPr>
                <w:ilvl w:val="0"/>
                <w:numId w:val="3"/>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预测数最接近实际总记录鸟种数的队伍（预测奖，可并列）</w:t>
            </w:r>
          </w:p>
          <w:p w14:paraId="5755AA45">
            <w:pPr>
              <w:pStyle w:val="17"/>
              <w:keepNext w:val="0"/>
              <w:keepLines w:val="0"/>
              <w:pageBreakBefore w:val="0"/>
              <w:numPr>
                <w:ilvl w:val="0"/>
                <w:numId w:val="3"/>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提交本组至尊鸟种被专家认可的队伍（至尊奖）</w:t>
            </w:r>
          </w:p>
          <w:p w14:paraId="7AA7739C">
            <w:pPr>
              <w:pStyle w:val="17"/>
              <w:keepNext w:val="0"/>
              <w:keepLines w:val="0"/>
              <w:pageBreakBefore w:val="0"/>
              <w:numPr>
                <w:ilvl w:val="0"/>
                <w:numId w:val="3"/>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记录到其他组都没有记录的鸟种的队伍（贡献奖）</w:t>
            </w:r>
          </w:p>
          <w:p w14:paraId="4A95B4C0">
            <w:pPr>
              <w:pStyle w:val="17"/>
              <w:keepNext w:val="0"/>
              <w:keepLines w:val="0"/>
              <w:pageBreakBefore w:val="0"/>
              <w:numPr>
                <w:ilvl w:val="0"/>
                <w:numId w:val="3"/>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记录到南岭当地鸟类名录中没有的鸟种的队伍（突破奖）</w:t>
            </w:r>
          </w:p>
          <w:p w14:paraId="331F143F">
            <w:pPr>
              <w:pStyle w:val="17"/>
              <w:keepNext w:val="0"/>
              <w:keepLines w:val="0"/>
              <w:pageBreakBefore w:val="0"/>
              <w:numPr>
                <w:ilvl w:val="0"/>
                <w:numId w:val="3"/>
              </w:numPr>
              <w:tabs>
                <w:tab w:val="left" w:pos="540"/>
              </w:tabs>
              <w:kinsoku/>
              <w:wordWrap/>
              <w:overflowPunct/>
              <w:topLinePunct w:val="0"/>
              <w:autoSpaceDE/>
              <w:autoSpaceDN/>
              <w:bidi w:val="0"/>
              <w:adjustRightInd w:val="0"/>
              <w:snapToGrid w:val="0"/>
              <w:spacing w:beforeAutospacing="0" w:afterAutospacing="0" w:line="240" w:lineRule="auto"/>
              <w:ind w:left="0" w:leftChars="0" w:firstLine="440" w:firstLineChars="200"/>
              <w:rPr>
                <w:rFonts w:hint="default" w:ascii="宋体" w:hAnsi="宋体" w:eastAsia="宋体" w:cs="宋体"/>
                <w:kern w:val="2"/>
                <w:sz w:val="22"/>
                <w:szCs w:val="22"/>
                <w:highlight w:val="none"/>
                <w:lang w:val="en-US" w:eastAsia="zh-CN" w:bidi="ar-SA"/>
              </w:rPr>
            </w:pPr>
            <w:r>
              <w:rPr>
                <w:rFonts w:hint="default" w:ascii="宋体" w:hAnsi="宋体" w:eastAsia="宋体" w:cs="宋体"/>
                <w:kern w:val="2"/>
                <w:sz w:val="22"/>
                <w:szCs w:val="22"/>
                <w:highlight w:val="none"/>
                <w:lang w:val="en-US" w:eastAsia="zh-CN" w:bidi="ar-SA"/>
              </w:rPr>
              <w:t>由组委会根据需要决定临时设置的指标/奖项</w:t>
            </w:r>
          </w:p>
          <w:p w14:paraId="0C378A59">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eastAsia" w:ascii="宋体" w:hAnsi="宋体" w:eastAsia="宋体" w:cs="宋体"/>
                <w:b/>
                <w:bCs/>
                <w:color w:val="000000"/>
                <w:sz w:val="22"/>
                <w:szCs w:val="22"/>
                <w:highlight w:val="none"/>
                <w:lang w:val="en-US" w:eastAsia="zh-CN"/>
              </w:rPr>
            </w:pPr>
            <w:r>
              <w:rPr>
                <w:rFonts w:hint="eastAsia" w:ascii="宋体" w:hAnsi="宋体" w:eastAsia="宋体" w:cs="宋体"/>
                <w:b/>
                <w:bCs/>
                <w:color w:val="000000"/>
                <w:kern w:val="0"/>
                <w:sz w:val="22"/>
                <w:szCs w:val="22"/>
                <w:highlight w:val="none"/>
                <w:lang w:val="en-US" w:eastAsia="zh-CN" w:bidi="ar-SA"/>
              </w:rPr>
              <w:t>（二）</w:t>
            </w:r>
            <w:r>
              <w:rPr>
                <w:rFonts w:hint="eastAsia" w:ascii="宋体" w:hAnsi="宋体" w:eastAsia="宋体" w:cs="宋体"/>
                <w:b/>
                <w:bCs/>
                <w:color w:val="000000"/>
                <w:sz w:val="22"/>
                <w:szCs w:val="22"/>
                <w:highlight w:val="none"/>
                <w:lang w:val="en-US" w:eastAsia="zh-CN"/>
              </w:rPr>
              <w:t>南岭观鸟系列自然教育科普活动</w:t>
            </w:r>
          </w:p>
          <w:p w14:paraId="49F1C3FB">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eastAsia"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lang w:val="en-US" w:eastAsia="zh-CN"/>
              </w:rPr>
              <w:t>1.活动内容</w:t>
            </w:r>
          </w:p>
          <w:p w14:paraId="449BD77F">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eastAsia" w:ascii="宋体" w:hAnsi="宋体" w:eastAsia="宋体" w:cs="宋体"/>
                <w:kern w:val="2"/>
                <w:sz w:val="22"/>
                <w:szCs w:val="22"/>
                <w:highlight w:val="none"/>
                <w:lang w:val="en-US" w:eastAsia="zh-CN" w:bidi="ar-SA"/>
              </w:rPr>
            </w:pPr>
            <w:r>
              <w:rPr>
                <w:rFonts w:hint="eastAsia" w:ascii="宋体" w:hAnsi="宋体" w:eastAsia="宋体" w:cs="宋体"/>
                <w:kern w:val="2"/>
                <w:sz w:val="22"/>
                <w:szCs w:val="22"/>
                <w:highlight w:val="none"/>
                <w:lang w:val="en-US" w:eastAsia="zh-CN" w:bidi="ar-SA"/>
              </w:rPr>
              <w:t>依托南岭保护区“翼动的心”观鸟科普品牌，开展10期亲子观鸟系列活动。每期15组家庭的深度体验，引导亲子家庭亲近自然、观察鸟类生态，传播生物多样性保护理念，提升公众对南岭生态价值的认知。</w:t>
            </w:r>
          </w:p>
          <w:p w14:paraId="5F230C58">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firstLine="0" w:firstLineChars="0"/>
              <w:rPr>
                <w:rFonts w:hint="eastAsia" w:ascii="宋体" w:hAnsi="宋体" w:eastAsia="宋体" w:cs="宋体"/>
                <w:b w:val="0"/>
                <w:bCs w:val="0"/>
                <w:sz w:val="22"/>
                <w:szCs w:val="22"/>
                <w:highlight w:val="none"/>
                <w:lang w:val="en-US" w:eastAsia="zh-CN"/>
              </w:rPr>
            </w:pPr>
            <w:r>
              <w:rPr>
                <w:rFonts w:hint="eastAsia" w:ascii="宋体" w:hAnsi="宋体" w:eastAsia="宋体" w:cs="宋体"/>
                <w:b w:val="0"/>
                <w:bCs w:val="0"/>
                <w:kern w:val="0"/>
                <w:sz w:val="22"/>
                <w:szCs w:val="22"/>
                <w:highlight w:val="none"/>
                <w:lang w:val="en-US" w:eastAsia="zh-CN" w:bidi="ar-SA"/>
              </w:rPr>
              <w:t>2.</w:t>
            </w:r>
            <w:r>
              <w:rPr>
                <w:rFonts w:hint="eastAsia" w:ascii="宋体" w:hAnsi="宋体" w:eastAsia="宋体" w:cs="宋体"/>
                <w:b w:val="0"/>
                <w:bCs w:val="0"/>
                <w:sz w:val="22"/>
                <w:szCs w:val="22"/>
                <w:highlight w:val="none"/>
                <w:lang w:val="en-US" w:eastAsia="zh-CN"/>
              </w:rPr>
              <w:t>活动安排</w:t>
            </w:r>
          </w:p>
          <w:p w14:paraId="2FA7A10F">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频率：每月1-2期，共10期。</w:t>
            </w:r>
          </w:p>
          <w:p w14:paraId="7C64A507">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时间：周末上午（9:00-12:00）。</w:t>
            </w:r>
          </w:p>
          <w:p w14:paraId="5A9290DB">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地点：南岭保护区指定观鸟路线（每期路线微调，覆盖不同生境）。</w:t>
            </w:r>
          </w:p>
          <w:p w14:paraId="34916128">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对象：15组家庭（每组1大1小，儿童建议8-12岁）。</w:t>
            </w:r>
          </w:p>
          <w:p w14:paraId="6ABF6368">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default"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lang w:val="en-US" w:eastAsia="zh-CN"/>
              </w:rPr>
              <w:t>3.</w:t>
            </w:r>
            <w:r>
              <w:rPr>
                <w:rFonts w:hint="default" w:ascii="宋体" w:hAnsi="宋体" w:eastAsia="宋体" w:cs="宋体"/>
                <w:b w:val="0"/>
                <w:bCs w:val="0"/>
                <w:sz w:val="22"/>
                <w:szCs w:val="22"/>
                <w:highlight w:val="none"/>
                <w:lang w:val="en-US" w:eastAsia="zh-CN"/>
              </w:rPr>
              <w:t>活动流程</w:t>
            </w:r>
            <w:r>
              <w:rPr>
                <w:rFonts w:hint="eastAsia" w:ascii="宋体" w:hAnsi="宋体" w:eastAsia="宋体" w:cs="宋体"/>
                <w:b w:val="0"/>
                <w:bCs w:val="0"/>
                <w:kern w:val="2"/>
                <w:sz w:val="22"/>
                <w:szCs w:val="22"/>
                <w:highlight w:val="none"/>
                <w:lang w:val="en-US" w:eastAsia="zh-CN" w:bidi="ar-SA"/>
              </w:rPr>
              <w:t>（包含但不限于以下内容）</w:t>
            </w:r>
          </w:p>
          <w:p w14:paraId="2DF0DE2D">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lang w:val="en-US" w:eastAsia="zh-CN"/>
              </w:rPr>
              <w:t>（1）</w:t>
            </w:r>
            <w:r>
              <w:rPr>
                <w:rFonts w:hint="default" w:ascii="宋体" w:hAnsi="宋体" w:eastAsia="宋体" w:cs="宋体"/>
                <w:b w:val="0"/>
                <w:bCs w:val="0"/>
                <w:sz w:val="22"/>
                <w:szCs w:val="22"/>
                <w:highlight w:val="none"/>
                <w:lang w:val="en-US" w:eastAsia="zh-CN"/>
              </w:rPr>
              <w:t>集合与导入（30分钟）</w:t>
            </w:r>
          </w:p>
          <w:p w14:paraId="26587699">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指定位置签到，分发观鸟手册、望远镜。</w:t>
            </w:r>
          </w:p>
          <w:p w14:paraId="7336A516">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导师介绍本期主题、目标鸟种及安全注意事项。</w:t>
            </w:r>
          </w:p>
          <w:p w14:paraId="3CCD27EB">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lang w:val="en-US" w:eastAsia="zh-CN"/>
              </w:rPr>
              <w:t>（2）</w:t>
            </w:r>
            <w:r>
              <w:rPr>
                <w:rFonts w:hint="default" w:ascii="宋体" w:hAnsi="宋体" w:eastAsia="宋体" w:cs="宋体"/>
                <w:b w:val="0"/>
                <w:bCs w:val="0"/>
                <w:sz w:val="22"/>
                <w:szCs w:val="22"/>
                <w:highlight w:val="none"/>
                <w:lang w:val="en-US" w:eastAsia="zh-CN"/>
              </w:rPr>
              <w:t>实地观察与讲解（2小时）</w:t>
            </w:r>
          </w:p>
          <w:p w14:paraId="13080D2F">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导师带领沿路线观察，讲解鸟类特征、习性及生态故事。</w:t>
            </w:r>
          </w:p>
          <w:p w14:paraId="6DEAE664">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互动环节：引导亲子记录鸟种、鸣声或行为。</w:t>
            </w:r>
          </w:p>
          <w:p w14:paraId="1D540424">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lang w:val="en-US" w:eastAsia="zh-CN"/>
              </w:rPr>
              <w:t>（3）</w:t>
            </w:r>
            <w:r>
              <w:rPr>
                <w:rFonts w:hint="default" w:ascii="宋体" w:hAnsi="宋体" w:eastAsia="宋体" w:cs="宋体"/>
                <w:b w:val="0"/>
                <w:bCs w:val="0"/>
                <w:sz w:val="22"/>
                <w:szCs w:val="22"/>
                <w:highlight w:val="none"/>
                <w:lang w:val="en-US" w:eastAsia="zh-CN"/>
              </w:rPr>
              <w:t>自然手工/笔记分享（30分钟）</w:t>
            </w:r>
          </w:p>
          <w:p w14:paraId="1CB23338">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利用自然材料制作鸟类主题手工，或整理观鸟笔记。</w:t>
            </w:r>
          </w:p>
          <w:p w14:paraId="4C26AEA2">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家庭分享观察感悟，导师总结。</w:t>
            </w:r>
          </w:p>
          <w:p w14:paraId="465E5E37">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bCs/>
                <w:sz w:val="22"/>
                <w:szCs w:val="22"/>
                <w:highlight w:val="none"/>
                <w:lang w:val="en-US" w:eastAsia="zh-CN"/>
              </w:rPr>
            </w:pPr>
            <w:r>
              <w:rPr>
                <w:rFonts w:hint="eastAsia" w:ascii="宋体" w:hAnsi="宋体" w:eastAsia="宋体" w:cs="宋体"/>
                <w:b w:val="0"/>
                <w:bCs w:val="0"/>
                <w:sz w:val="22"/>
                <w:szCs w:val="22"/>
                <w:highlight w:val="none"/>
                <w:lang w:val="en-US" w:eastAsia="zh-CN"/>
              </w:rPr>
              <w:t>4.</w:t>
            </w:r>
            <w:r>
              <w:rPr>
                <w:rFonts w:hint="default" w:ascii="宋体" w:hAnsi="宋体" w:eastAsia="宋体" w:cs="宋体"/>
                <w:b w:val="0"/>
                <w:bCs w:val="0"/>
                <w:sz w:val="22"/>
                <w:szCs w:val="22"/>
                <w:highlight w:val="none"/>
                <w:lang w:val="en-US" w:eastAsia="zh-CN"/>
              </w:rPr>
              <w:t>主题设计</w:t>
            </w:r>
            <w:r>
              <w:rPr>
                <w:rFonts w:hint="default" w:ascii="宋体" w:hAnsi="宋体" w:eastAsia="宋体" w:cs="宋体"/>
                <w:b/>
                <w:bCs/>
                <w:sz w:val="22"/>
                <w:szCs w:val="22"/>
                <w:highlight w:val="none"/>
                <w:lang w:val="en-US" w:eastAsia="zh-CN"/>
              </w:rPr>
              <w:t>​</w:t>
            </w:r>
          </w:p>
          <w:p w14:paraId="40B31E50">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结合季节与鸟类活动规律，设计差异化主题，例如：春归候鸟（3月）</w:t>
            </w:r>
            <w:r>
              <w:rPr>
                <w:rFonts w:hint="eastAsia" w:ascii="宋体" w:hAnsi="宋体" w:eastAsia="宋体" w:cs="宋体"/>
                <w:b w:val="0"/>
                <w:bCs w:val="0"/>
                <w:sz w:val="22"/>
                <w:szCs w:val="22"/>
                <w:highlight w:val="none"/>
                <w:lang w:val="en-US" w:eastAsia="zh-CN"/>
              </w:rPr>
              <w:t>、</w:t>
            </w:r>
            <w:r>
              <w:rPr>
                <w:rFonts w:hint="default" w:ascii="宋体" w:hAnsi="宋体" w:eastAsia="宋体" w:cs="宋体"/>
                <w:b w:val="0"/>
                <w:bCs w:val="0"/>
                <w:sz w:val="22"/>
                <w:szCs w:val="22"/>
                <w:highlight w:val="none"/>
                <w:lang w:val="en-US" w:eastAsia="zh-CN"/>
              </w:rPr>
              <w:t>林间鸣唱家（4月）</w:t>
            </w:r>
            <w:r>
              <w:rPr>
                <w:rFonts w:hint="eastAsia" w:ascii="宋体" w:hAnsi="宋体" w:eastAsia="宋体" w:cs="宋体"/>
                <w:b w:val="0"/>
                <w:bCs w:val="0"/>
                <w:sz w:val="22"/>
                <w:szCs w:val="22"/>
                <w:highlight w:val="none"/>
                <w:lang w:val="en-US" w:eastAsia="zh-CN"/>
              </w:rPr>
              <w:t>、</w:t>
            </w:r>
            <w:r>
              <w:rPr>
                <w:rFonts w:hint="default" w:ascii="宋体" w:hAnsi="宋体" w:eastAsia="宋体" w:cs="宋体"/>
                <w:b w:val="0"/>
                <w:bCs w:val="0"/>
                <w:sz w:val="22"/>
                <w:szCs w:val="22"/>
                <w:highlight w:val="none"/>
                <w:lang w:val="en-US" w:eastAsia="zh-CN"/>
              </w:rPr>
              <w:t>湿地水鸟（5月）</w:t>
            </w:r>
            <w:r>
              <w:rPr>
                <w:rFonts w:hint="eastAsia" w:ascii="宋体" w:hAnsi="宋体" w:eastAsia="宋体" w:cs="宋体"/>
                <w:b w:val="0"/>
                <w:bCs w:val="0"/>
                <w:sz w:val="22"/>
                <w:szCs w:val="22"/>
                <w:highlight w:val="none"/>
                <w:lang w:val="en-US" w:eastAsia="zh-CN"/>
              </w:rPr>
              <w:t>、</w:t>
            </w:r>
            <w:r>
              <w:rPr>
                <w:rFonts w:hint="default" w:ascii="宋体" w:hAnsi="宋体" w:eastAsia="宋体" w:cs="宋体"/>
                <w:b w:val="0"/>
                <w:bCs w:val="0"/>
                <w:sz w:val="22"/>
                <w:szCs w:val="22"/>
                <w:highlight w:val="none"/>
                <w:lang w:val="en-US" w:eastAsia="zh-CN"/>
              </w:rPr>
              <w:t>猛禽观察（6月）</w:t>
            </w:r>
            <w:r>
              <w:rPr>
                <w:rFonts w:hint="eastAsia" w:ascii="宋体" w:hAnsi="宋体" w:eastAsia="宋体" w:cs="宋体"/>
                <w:b w:val="0"/>
                <w:bCs w:val="0"/>
                <w:sz w:val="22"/>
                <w:szCs w:val="22"/>
                <w:highlight w:val="none"/>
                <w:lang w:val="en-US" w:eastAsia="zh-CN"/>
              </w:rPr>
              <w:t>、</w:t>
            </w:r>
            <w:r>
              <w:rPr>
                <w:rFonts w:hint="default" w:ascii="宋体" w:hAnsi="宋体" w:eastAsia="宋体" w:cs="宋体"/>
                <w:b w:val="0"/>
                <w:bCs w:val="0"/>
                <w:sz w:val="22"/>
                <w:szCs w:val="22"/>
                <w:highlight w:val="none"/>
                <w:lang w:val="en-US" w:eastAsia="zh-CN"/>
              </w:rPr>
              <w:t>夏夜精灵（7月夜观特别场）……（后续根据南岭鸟类资源灵活规划）</w:t>
            </w:r>
          </w:p>
          <w:p w14:paraId="7F1CF4FC">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lang w:val="en-US" w:eastAsia="zh-CN"/>
              </w:rPr>
              <w:t>5.</w:t>
            </w:r>
            <w:r>
              <w:rPr>
                <w:rFonts w:hint="default" w:ascii="宋体" w:hAnsi="宋体" w:eastAsia="宋体" w:cs="宋体"/>
                <w:b w:val="0"/>
                <w:bCs w:val="0"/>
                <w:sz w:val="22"/>
                <w:szCs w:val="22"/>
                <w:highlight w:val="none"/>
                <w:lang w:val="en-US" w:eastAsia="zh-CN"/>
              </w:rPr>
              <w:t>宣传与报名​</w:t>
            </w:r>
          </w:p>
          <w:p w14:paraId="184CC32B">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通过保护区公众号、合作自然教育平台发布招募。每期提前一周开放报名，额满即止。建立活动群，用于通知、知识预热与成果分享。</w:t>
            </w:r>
          </w:p>
          <w:p w14:paraId="6EBB5EED">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lang w:val="en-US" w:eastAsia="zh-CN"/>
              </w:rPr>
              <w:t>6.</w:t>
            </w:r>
            <w:r>
              <w:rPr>
                <w:rFonts w:hint="default" w:ascii="宋体" w:hAnsi="宋体" w:eastAsia="宋体" w:cs="宋体"/>
                <w:b w:val="0"/>
                <w:bCs w:val="0"/>
                <w:sz w:val="22"/>
                <w:szCs w:val="22"/>
                <w:highlight w:val="none"/>
                <w:lang w:val="en-US" w:eastAsia="zh-CN"/>
              </w:rPr>
              <w:t>人员与保障​</w:t>
            </w:r>
          </w:p>
          <w:p w14:paraId="7409596F">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导师团队：2名专业自然教育导师 + 2名保护区志愿者。</w:t>
            </w:r>
          </w:p>
          <w:p w14:paraId="3D7BFA8F">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物料准备：望远镜、图鉴、急救包、活动手册、记录本等。</w:t>
            </w:r>
          </w:p>
          <w:p w14:paraId="0217D079">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0" w:leftChars="0"/>
              <w:rPr>
                <w:rFonts w:hint="default" w:ascii="宋体" w:hAnsi="宋体" w:eastAsia="宋体" w:cs="宋体"/>
                <w:b w:val="0"/>
                <w:bCs w:val="0"/>
                <w:sz w:val="22"/>
                <w:szCs w:val="22"/>
                <w:highlight w:val="none"/>
                <w:lang w:val="en-US" w:eastAsia="zh-CN"/>
              </w:rPr>
            </w:pPr>
            <w:r>
              <w:rPr>
                <w:rFonts w:hint="default" w:ascii="宋体" w:hAnsi="宋体" w:eastAsia="宋体" w:cs="宋体"/>
                <w:b w:val="0"/>
                <w:bCs w:val="0"/>
                <w:sz w:val="22"/>
                <w:szCs w:val="22"/>
                <w:highlight w:val="none"/>
                <w:lang w:val="en-US" w:eastAsia="zh-CN"/>
              </w:rPr>
              <w:t>安全预案：购买意外险，设置应急路线，配备基础医疗物资。</w:t>
            </w:r>
          </w:p>
          <w:p w14:paraId="6FBE25F9">
            <w:pPr>
              <w:pStyle w:val="17"/>
              <w:keepNext w:val="0"/>
              <w:keepLines w:val="0"/>
              <w:pageBreakBefore w:val="0"/>
              <w:numPr>
                <w:ilvl w:val="0"/>
                <w:numId w:val="4"/>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eastAsia" w:ascii="宋体" w:hAnsi="宋体" w:eastAsia="宋体" w:cs="宋体"/>
                <w:b/>
                <w:bCs/>
                <w:color w:val="000000"/>
                <w:sz w:val="22"/>
                <w:szCs w:val="22"/>
                <w:highlight w:val="none"/>
                <w:lang w:val="en-US" w:eastAsia="zh-CN"/>
              </w:rPr>
            </w:pPr>
            <w:r>
              <w:rPr>
                <w:rFonts w:hint="eastAsia" w:ascii="宋体" w:hAnsi="宋体" w:eastAsia="宋体" w:cs="宋体"/>
                <w:b/>
                <w:bCs/>
                <w:color w:val="000000"/>
                <w:sz w:val="22"/>
                <w:szCs w:val="22"/>
                <w:highlight w:val="none"/>
                <w:lang w:val="en-US" w:eastAsia="zh-CN"/>
              </w:rPr>
              <w:t>南岭国家公园候选区南岭片区42个网格鸟类监测</w:t>
            </w:r>
          </w:p>
          <w:p w14:paraId="5E2C37B7">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eastAsia" w:ascii="宋体" w:hAnsi="宋体" w:eastAsia="宋体" w:cs="宋体"/>
                <w:b w:val="0"/>
                <w:bCs w:val="0"/>
                <w:color w:val="000000"/>
                <w:sz w:val="22"/>
                <w:szCs w:val="22"/>
                <w:highlight w:val="none"/>
                <w:lang w:val="en-US" w:eastAsia="zh-CN"/>
              </w:rPr>
            </w:pPr>
            <w:r>
              <w:rPr>
                <w:rFonts w:hint="default" w:ascii="宋体" w:hAnsi="宋体" w:eastAsia="宋体" w:cs="宋体"/>
                <w:color w:val="000000"/>
                <w:sz w:val="22"/>
                <w:szCs w:val="22"/>
                <w:highlight w:val="none"/>
                <w:lang w:val="en-US" w:eastAsia="zh-CN"/>
              </w:rPr>
              <w:t>开展南岭国家公园候选区南岭片区42个网格鸟类监测，分别在繁殖季（4-5</w:t>
            </w:r>
            <w:r>
              <w:rPr>
                <w:rFonts w:hint="default" w:ascii="宋体" w:hAnsi="宋体" w:eastAsia="宋体" w:cs="宋体"/>
                <w:b w:val="0"/>
                <w:bCs w:val="0"/>
                <w:color w:val="000000"/>
                <w:sz w:val="22"/>
                <w:szCs w:val="22"/>
                <w:highlight w:val="none"/>
                <w:lang w:val="en-US" w:eastAsia="zh-CN"/>
              </w:rPr>
              <w:t>月份）和非繁殖季（10-11月份）各开展一次监测</w:t>
            </w:r>
            <w:r>
              <w:rPr>
                <w:rFonts w:hint="eastAsia" w:ascii="宋体" w:hAnsi="宋体" w:eastAsia="宋体" w:cs="宋体"/>
                <w:b w:val="0"/>
                <w:bCs w:val="0"/>
                <w:color w:val="000000"/>
                <w:sz w:val="22"/>
                <w:szCs w:val="22"/>
                <w:highlight w:val="none"/>
                <w:lang w:val="en-US" w:eastAsia="zh-CN"/>
              </w:rPr>
              <w:t>。</w:t>
            </w:r>
          </w:p>
          <w:p w14:paraId="5DF5772F">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eastAsia" w:ascii="宋体" w:hAnsi="宋体" w:eastAsia="宋体" w:cs="宋体"/>
                <w:b w:val="0"/>
                <w:bCs w:val="0"/>
                <w:color w:val="000000"/>
                <w:sz w:val="22"/>
                <w:szCs w:val="22"/>
                <w:highlight w:val="none"/>
                <w:lang w:val="en-US" w:eastAsia="zh-CN"/>
              </w:rPr>
            </w:pPr>
            <w:r>
              <w:rPr>
                <w:rFonts w:hint="eastAsia" w:ascii="宋体" w:hAnsi="宋体" w:eastAsia="宋体" w:cs="宋体"/>
                <w:b w:val="0"/>
                <w:bCs w:val="0"/>
                <w:color w:val="000000"/>
                <w:sz w:val="22"/>
                <w:szCs w:val="22"/>
                <w:highlight w:val="none"/>
                <w:lang w:val="en-US" w:eastAsia="zh-CN"/>
              </w:rPr>
              <w:t>1.网格划分</w:t>
            </w:r>
          </w:p>
          <w:p w14:paraId="4C4AEE2A">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将整个南岭片区涉及范围按照2km×2km划分为216个网格，并采用字母+数字方式对网格进行编号（横坐标A-X从左到右，纵坐标01-19从上到下），其中乳阳片区84个网格。</w:t>
            </w:r>
          </w:p>
          <w:p w14:paraId="024651B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sz w:val="28"/>
                <w:szCs w:val="28"/>
                <w:highlight w:val="none"/>
                <w:lang w:val="en-US" w:eastAsia="zh-CN"/>
              </w:rPr>
            </w:pPr>
            <w:r>
              <w:rPr>
                <w:rFonts w:hint="default" w:ascii="Times New Roman" w:hAnsi="Times New Roman" w:eastAsia="宋体" w:cs="Times New Roman"/>
                <w:b w:val="0"/>
                <w:bCs w:val="0"/>
                <w:sz w:val="28"/>
                <w:szCs w:val="28"/>
                <w:highlight w:val="none"/>
                <w:lang w:val="en-US" w:eastAsia="zh-CN"/>
              </w:rPr>
              <w:drawing>
                <wp:inline distT="0" distB="0" distL="114300" distR="114300">
                  <wp:extent cx="2915285" cy="2369185"/>
                  <wp:effectExtent l="0" t="0" r="18415" b="12065"/>
                  <wp:docPr id="2" name="图片 1" descr="全网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全网格"/>
                          <pic:cNvPicPr>
                            <a:picLocks noChangeAspect="1"/>
                          </pic:cNvPicPr>
                        </pic:nvPicPr>
                        <pic:blipFill>
                          <a:blip r:embed="rId5"/>
                          <a:stretch>
                            <a:fillRect/>
                          </a:stretch>
                        </pic:blipFill>
                        <pic:spPr>
                          <a:xfrm>
                            <a:off x="0" y="0"/>
                            <a:ext cx="2915285" cy="2369185"/>
                          </a:xfrm>
                          <a:prstGeom prst="rect">
                            <a:avLst/>
                          </a:prstGeom>
                          <a:noFill/>
                          <a:ln>
                            <a:noFill/>
                          </a:ln>
                        </pic:spPr>
                      </pic:pic>
                    </a:graphicData>
                  </a:graphic>
                </wp:inline>
              </w:drawing>
            </w:r>
          </w:p>
          <w:p w14:paraId="3FF7BA3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val="0"/>
                <w:bCs w:val="0"/>
                <w:sz w:val="20"/>
                <w:szCs w:val="20"/>
                <w:highlight w:val="none"/>
                <w:lang w:val="en-US" w:eastAsia="zh-CN"/>
              </w:rPr>
            </w:pPr>
            <w:r>
              <w:rPr>
                <w:rFonts w:hint="eastAsia" w:ascii="宋体" w:hAnsi="宋体" w:eastAsia="宋体" w:cs="宋体"/>
                <w:b w:val="0"/>
                <w:bCs w:val="0"/>
                <w:sz w:val="22"/>
                <w:szCs w:val="22"/>
                <w:highlight w:val="none"/>
                <w:lang w:val="en-US" w:eastAsia="zh-CN"/>
              </w:rPr>
              <w:t>图1 南岭保护区全网格划分（2km×2km）</w:t>
            </w:r>
          </w:p>
          <w:p w14:paraId="5BCA1C5D">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eastAsia" w:ascii="宋体" w:hAnsi="宋体" w:eastAsia="宋体" w:cs="宋体"/>
                <w:b w:val="0"/>
                <w:bCs w:val="0"/>
                <w:color w:val="000000"/>
                <w:sz w:val="22"/>
                <w:szCs w:val="22"/>
                <w:highlight w:val="none"/>
                <w:lang w:val="en-US" w:eastAsia="zh-CN"/>
              </w:rPr>
            </w:pPr>
            <w:r>
              <w:rPr>
                <w:rFonts w:hint="eastAsia" w:ascii="宋体" w:hAnsi="宋体" w:eastAsia="宋体" w:cs="宋体"/>
                <w:b w:val="0"/>
                <w:bCs w:val="0"/>
                <w:color w:val="000000"/>
                <w:sz w:val="22"/>
                <w:szCs w:val="22"/>
                <w:highlight w:val="none"/>
                <w:lang w:val="en-US" w:eastAsia="zh-CN"/>
              </w:rPr>
              <w:t>2.网格选择</w:t>
            </w:r>
          </w:p>
          <w:p w14:paraId="2ECCB5F0">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选取乳阳片区有道路可达的42个网格（N-W,01-09）进行监测。</w:t>
            </w:r>
          </w:p>
          <w:p w14:paraId="5E84FD5F">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eastAsia" w:ascii="宋体" w:hAnsi="宋体" w:eastAsia="宋体" w:cs="宋体"/>
                <w:b w:val="0"/>
                <w:bCs w:val="0"/>
                <w:color w:val="000000"/>
                <w:sz w:val="22"/>
                <w:szCs w:val="22"/>
                <w:highlight w:val="none"/>
                <w:lang w:val="en-US" w:eastAsia="zh-CN"/>
              </w:rPr>
            </w:pPr>
            <w:r>
              <w:rPr>
                <w:rFonts w:hint="eastAsia" w:ascii="宋体" w:hAnsi="宋体" w:eastAsia="宋体" w:cs="宋体"/>
                <w:b w:val="0"/>
                <w:bCs w:val="0"/>
                <w:color w:val="000000"/>
                <w:sz w:val="22"/>
                <w:szCs w:val="22"/>
                <w:highlight w:val="none"/>
                <w:lang w:val="en-US" w:eastAsia="zh-CN"/>
              </w:rPr>
              <w:t>3.样线选择</w:t>
            </w:r>
          </w:p>
          <w:p w14:paraId="3767D85A">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firstLine="440" w:firstLineChars="200"/>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每个网格设置一条2km的样线。</w:t>
            </w:r>
          </w:p>
          <w:p w14:paraId="79CF97D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sz w:val="28"/>
                <w:szCs w:val="28"/>
                <w:highlight w:val="none"/>
                <w:lang w:val="en-US" w:eastAsia="zh-CN"/>
              </w:rPr>
            </w:pPr>
            <w:r>
              <w:rPr>
                <w:rFonts w:hint="default" w:ascii="Times New Roman" w:hAnsi="Times New Roman" w:eastAsia="宋体" w:cs="Times New Roman"/>
                <w:sz w:val="20"/>
                <w:szCs w:val="22"/>
                <w:highlight w:val="none"/>
                <w:lang w:val="en-US" w:eastAsia="zh-CN"/>
              </w:rPr>
              <w:drawing>
                <wp:inline distT="0" distB="0" distL="114300" distR="114300">
                  <wp:extent cx="2969895" cy="2332355"/>
                  <wp:effectExtent l="0" t="0" r="1905" b="10795"/>
                  <wp:docPr id="3" name="图片 2" descr="调查样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调查样线"/>
                          <pic:cNvPicPr>
                            <a:picLocks noChangeAspect="1"/>
                          </pic:cNvPicPr>
                        </pic:nvPicPr>
                        <pic:blipFill>
                          <a:blip r:embed="rId6"/>
                          <a:stretch>
                            <a:fillRect/>
                          </a:stretch>
                        </pic:blipFill>
                        <pic:spPr>
                          <a:xfrm>
                            <a:off x="0" y="0"/>
                            <a:ext cx="2969895" cy="2332355"/>
                          </a:xfrm>
                          <a:prstGeom prst="rect">
                            <a:avLst/>
                          </a:prstGeom>
                          <a:noFill/>
                          <a:ln>
                            <a:noFill/>
                          </a:ln>
                        </pic:spPr>
                      </pic:pic>
                    </a:graphicData>
                  </a:graphic>
                </wp:inline>
              </w:drawing>
            </w:r>
          </w:p>
          <w:p w14:paraId="7223F1A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000000"/>
                <w:sz w:val="22"/>
                <w:szCs w:val="22"/>
                <w:highlight w:val="none"/>
                <w:lang w:val="en-US" w:eastAsia="zh-CN"/>
              </w:rPr>
            </w:pPr>
            <w:r>
              <w:rPr>
                <w:rFonts w:hint="eastAsia" w:ascii="宋体" w:hAnsi="宋体" w:eastAsia="宋体" w:cs="宋体"/>
                <w:b w:val="0"/>
                <w:bCs w:val="0"/>
                <w:sz w:val="22"/>
                <w:szCs w:val="22"/>
                <w:highlight w:val="none"/>
                <w:lang w:val="en-US" w:eastAsia="zh-CN"/>
              </w:rPr>
              <w:t>图2 监测网格及样线</w:t>
            </w:r>
          </w:p>
          <w:p w14:paraId="1810566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val="0"/>
                <w:bCs w:val="0"/>
                <w:sz w:val="22"/>
                <w:szCs w:val="22"/>
                <w:highlight w:val="none"/>
                <w:lang w:val="en-US" w:eastAsia="zh-CN"/>
              </w:rPr>
            </w:pPr>
            <w:r>
              <w:rPr>
                <w:rFonts w:hint="eastAsia" w:ascii="宋体" w:hAnsi="宋体" w:eastAsia="宋体" w:cs="宋体"/>
                <w:b w:val="0"/>
                <w:bCs w:val="0"/>
                <w:sz w:val="22"/>
                <w:szCs w:val="22"/>
                <w:highlight w:val="none"/>
                <w:lang w:val="en-US" w:eastAsia="zh-CN"/>
              </w:rPr>
              <w:t>表1 南岭网格化鸟类监测样线设置</w:t>
            </w:r>
          </w:p>
          <w:tbl>
            <w:tblPr>
              <w:tblStyle w:val="4"/>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8"/>
              <w:gridCol w:w="645"/>
              <w:gridCol w:w="1530"/>
              <w:gridCol w:w="608"/>
              <w:gridCol w:w="874"/>
              <w:gridCol w:w="722"/>
            </w:tblGrid>
            <w:tr w14:paraId="3AAD7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center"/>
                </w:tcPr>
                <w:p w14:paraId="7E8104A7">
                  <w:pPr>
                    <w:keepNext w:val="0"/>
                    <w:keepLines w:val="0"/>
                    <w:widowControl/>
                    <w:suppressLineNumbers w:val="0"/>
                    <w:spacing w:line="240" w:lineRule="auto"/>
                    <w:jc w:val="center"/>
                    <w:textAlignment w:val="bottom"/>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序号</w:t>
                  </w:r>
                </w:p>
              </w:tc>
              <w:tc>
                <w:tcPr>
                  <w:tcW w:w="675" w:type="pct"/>
                  <w:tcBorders>
                    <w:top w:val="single" w:color="000000" w:sz="4" w:space="0"/>
                    <w:left w:val="single" w:color="000000" w:sz="4" w:space="0"/>
                    <w:bottom w:val="single" w:color="000000" w:sz="4" w:space="0"/>
                    <w:right w:val="single" w:color="000000" w:sz="4" w:space="0"/>
                  </w:tcBorders>
                  <w:noWrap/>
                  <w:vAlign w:val="center"/>
                </w:tcPr>
                <w:p w14:paraId="6436A764">
                  <w:pPr>
                    <w:keepNext w:val="0"/>
                    <w:keepLines w:val="0"/>
                    <w:widowControl/>
                    <w:suppressLineNumbers w:val="0"/>
                    <w:spacing w:line="240" w:lineRule="auto"/>
                    <w:jc w:val="center"/>
                    <w:textAlignment w:val="bottom"/>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区域</w:t>
                  </w:r>
                </w:p>
              </w:tc>
              <w:tc>
                <w:tcPr>
                  <w:tcW w:w="1601" w:type="pct"/>
                  <w:tcBorders>
                    <w:top w:val="single" w:color="000000" w:sz="4" w:space="0"/>
                    <w:left w:val="single" w:color="000000" w:sz="4" w:space="0"/>
                    <w:bottom w:val="single" w:color="000000" w:sz="4" w:space="0"/>
                    <w:right w:val="single" w:color="000000" w:sz="4" w:space="0"/>
                  </w:tcBorders>
                  <w:noWrap/>
                  <w:vAlign w:val="center"/>
                </w:tcPr>
                <w:p w14:paraId="5C1D7346">
                  <w:pPr>
                    <w:keepNext w:val="0"/>
                    <w:keepLines w:val="0"/>
                    <w:widowControl/>
                    <w:suppressLineNumbers w:val="0"/>
                    <w:spacing w:line="240" w:lineRule="auto"/>
                    <w:jc w:val="center"/>
                    <w:textAlignment w:val="bottom"/>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详细地名</w:t>
                  </w:r>
                </w:p>
              </w:tc>
              <w:tc>
                <w:tcPr>
                  <w:tcW w:w="636" w:type="pct"/>
                  <w:tcBorders>
                    <w:top w:val="single" w:color="000000" w:sz="4" w:space="0"/>
                    <w:left w:val="single" w:color="000000" w:sz="4" w:space="0"/>
                    <w:bottom w:val="single" w:color="000000" w:sz="4" w:space="0"/>
                    <w:right w:val="single" w:color="000000" w:sz="4" w:space="0"/>
                  </w:tcBorders>
                  <w:noWrap/>
                  <w:vAlign w:val="center"/>
                </w:tcPr>
                <w:p w14:paraId="1E65589B">
                  <w:pPr>
                    <w:keepNext w:val="0"/>
                    <w:keepLines w:val="0"/>
                    <w:widowControl/>
                    <w:suppressLineNumbers w:val="0"/>
                    <w:spacing w:line="240" w:lineRule="auto"/>
                    <w:jc w:val="center"/>
                    <w:textAlignment w:val="bottom"/>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网格</w:t>
                  </w:r>
                </w:p>
              </w:tc>
              <w:tc>
                <w:tcPr>
                  <w:tcW w:w="914" w:type="pct"/>
                  <w:tcBorders>
                    <w:top w:val="single" w:color="000000" w:sz="4" w:space="0"/>
                    <w:left w:val="single" w:color="000000" w:sz="4" w:space="0"/>
                    <w:bottom w:val="single" w:color="000000" w:sz="4" w:space="0"/>
                    <w:right w:val="single" w:color="000000" w:sz="4" w:space="0"/>
                  </w:tcBorders>
                  <w:noWrap/>
                  <w:vAlign w:val="center"/>
                </w:tcPr>
                <w:p w14:paraId="706902E2">
                  <w:pPr>
                    <w:keepNext w:val="0"/>
                    <w:keepLines w:val="0"/>
                    <w:widowControl/>
                    <w:suppressLineNumbers w:val="0"/>
                    <w:spacing w:line="240" w:lineRule="auto"/>
                    <w:jc w:val="center"/>
                    <w:textAlignment w:val="bottom"/>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植被类型</w:t>
                  </w:r>
                </w:p>
              </w:tc>
              <w:tc>
                <w:tcPr>
                  <w:tcW w:w="755" w:type="pct"/>
                  <w:tcBorders>
                    <w:top w:val="single" w:color="000000" w:sz="4" w:space="0"/>
                    <w:left w:val="single" w:color="000000" w:sz="4" w:space="0"/>
                    <w:bottom w:val="single" w:color="000000" w:sz="4" w:space="0"/>
                    <w:right w:val="single" w:color="000000" w:sz="4" w:space="0"/>
                  </w:tcBorders>
                  <w:noWrap/>
                  <w:vAlign w:val="center"/>
                </w:tcPr>
                <w:p w14:paraId="3AD43769">
                  <w:pPr>
                    <w:keepNext w:val="0"/>
                    <w:keepLines w:val="0"/>
                    <w:widowControl/>
                    <w:suppressLineNumbers w:val="0"/>
                    <w:spacing w:line="240" w:lineRule="auto"/>
                    <w:jc w:val="center"/>
                    <w:textAlignment w:val="bottom"/>
                    <w:rPr>
                      <w:rFonts w:hint="eastAsia" w:ascii="宋体" w:hAnsi="宋体" w:eastAsia="宋体" w:cs="宋体"/>
                      <w:b/>
                      <w:bCs/>
                      <w:i w:val="0"/>
                      <w:iCs w:val="0"/>
                      <w:color w:val="000000"/>
                      <w:sz w:val="18"/>
                      <w:szCs w:val="18"/>
                      <w:highlight w:val="none"/>
                      <w:u w:val="none"/>
                      <w:lang w:val="en-US"/>
                    </w:rPr>
                  </w:pPr>
                  <w:r>
                    <w:rPr>
                      <w:rStyle w:val="18"/>
                      <w:rFonts w:hint="eastAsia" w:ascii="宋体" w:hAnsi="宋体" w:eastAsia="宋体" w:cs="宋体"/>
                      <w:sz w:val="18"/>
                      <w:szCs w:val="18"/>
                      <w:highlight w:val="none"/>
                      <w:lang w:val="en-US" w:eastAsia="zh-CN" w:bidi="ar"/>
                    </w:rPr>
                    <w:t>样线长度/km</w:t>
                  </w:r>
                </w:p>
              </w:tc>
            </w:tr>
            <w:tr w14:paraId="190A07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4F5F3355">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675" w:type="pct"/>
                  <w:vMerge w:val="restart"/>
                  <w:tcBorders>
                    <w:top w:val="single" w:color="000000" w:sz="4" w:space="0"/>
                    <w:left w:val="single" w:color="000000" w:sz="4" w:space="0"/>
                    <w:bottom w:val="single" w:color="000000" w:sz="4" w:space="0"/>
                    <w:right w:val="single" w:color="000000" w:sz="4" w:space="0"/>
                  </w:tcBorders>
                  <w:noWrap/>
                  <w:vAlign w:val="center"/>
                </w:tcPr>
                <w:p w14:paraId="11078861">
                  <w:pPr>
                    <w:keepNext w:val="0"/>
                    <w:keepLines w:val="0"/>
                    <w:widowControl/>
                    <w:suppressLineNumbers w:val="0"/>
                    <w:spacing w:line="240" w:lineRule="auto"/>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白马坑</w:t>
                  </w: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02903806">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白马坑</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55D2E80D">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R07</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873FD49">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68035797">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1114A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746F81B0">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751B3E36">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5CF5D0E7">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白马坑—南木</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18F69B46">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Q07</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1C444D9">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07B4F7F8">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lang w:val="en-US" w:eastAsia="zh-CN"/>
                    </w:rPr>
                  </w:pPr>
                  <w:r>
                    <w:rPr>
                      <w:rFonts w:hint="eastAsia" w:ascii="宋体" w:hAnsi="宋体" w:eastAsia="宋体" w:cs="宋体"/>
                      <w:i w:val="0"/>
                      <w:iCs w:val="0"/>
                      <w:color w:val="000000"/>
                      <w:sz w:val="18"/>
                      <w:szCs w:val="18"/>
                      <w:highlight w:val="none"/>
                      <w:u w:val="none"/>
                      <w:lang w:val="en-US" w:eastAsia="zh-CN"/>
                    </w:rPr>
                    <w:t>2.0</w:t>
                  </w:r>
                </w:p>
              </w:tc>
            </w:tr>
            <w:tr w14:paraId="10B116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622A5B36">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3CA04191">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572EE1E6">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白马坑中段</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20AD8DE6">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S07</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B1310AE">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4AEEB40A">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2EDE9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6CBA1F9C">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13DD4149">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54C11BC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白马坑水电站厂房—坝头</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7735E519">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T06</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FD8BB7A">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60A26883">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lang w:val="en-US"/>
                    </w:rPr>
                  </w:pPr>
                  <w:r>
                    <w:rPr>
                      <w:rFonts w:hint="eastAsia" w:ascii="宋体" w:hAnsi="宋体" w:eastAsia="宋体" w:cs="宋体"/>
                      <w:i w:val="0"/>
                      <w:iCs w:val="0"/>
                      <w:color w:val="000000"/>
                      <w:kern w:val="0"/>
                      <w:sz w:val="18"/>
                      <w:szCs w:val="18"/>
                      <w:highlight w:val="none"/>
                      <w:u w:val="none"/>
                      <w:lang w:val="en-US" w:eastAsia="zh-CN" w:bidi="ar"/>
                    </w:rPr>
                    <w:t>3.0</w:t>
                  </w:r>
                </w:p>
              </w:tc>
            </w:tr>
            <w:tr w14:paraId="54C85D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5FF1CF48">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675" w:type="pct"/>
                  <w:vMerge w:val="restart"/>
                  <w:tcBorders>
                    <w:top w:val="single" w:color="000000" w:sz="4" w:space="0"/>
                    <w:left w:val="single" w:color="000000" w:sz="4" w:space="0"/>
                    <w:bottom w:val="single" w:color="000000" w:sz="4" w:space="0"/>
                    <w:right w:val="single" w:color="000000" w:sz="4" w:space="0"/>
                  </w:tcBorders>
                  <w:noWrap/>
                  <w:vAlign w:val="center"/>
                </w:tcPr>
                <w:p w14:paraId="3A7687DF">
                  <w:pPr>
                    <w:keepNext w:val="0"/>
                    <w:keepLines w:val="0"/>
                    <w:widowControl/>
                    <w:suppressLineNumbers w:val="0"/>
                    <w:spacing w:line="240" w:lineRule="auto"/>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小黄山</w:t>
                  </w: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4D2A6A59">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小黄山路口—九重山</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2986ECB7">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S05</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7C89E7E7">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3FB761C6">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3.0 </w:t>
                  </w:r>
                </w:p>
              </w:tc>
            </w:tr>
            <w:tr w14:paraId="22A55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74B6F6CE">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1C7897B0">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5C530D4B">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九重山</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06BC880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S06</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218D3EFA">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0CE7EC1B">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lang w:val="en-US" w:eastAsia="zh-CN"/>
                    </w:rPr>
                  </w:pPr>
                  <w:r>
                    <w:rPr>
                      <w:rFonts w:hint="eastAsia" w:ascii="宋体" w:hAnsi="宋体" w:eastAsia="宋体" w:cs="宋体"/>
                      <w:i w:val="0"/>
                      <w:iCs w:val="0"/>
                      <w:color w:val="000000"/>
                      <w:sz w:val="18"/>
                      <w:szCs w:val="18"/>
                      <w:highlight w:val="none"/>
                      <w:u w:val="none"/>
                      <w:lang w:val="en-US" w:eastAsia="zh-CN"/>
                    </w:rPr>
                    <w:t>2.0</w:t>
                  </w:r>
                </w:p>
              </w:tc>
            </w:tr>
            <w:tr w14:paraId="4E779D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4F63F4D0">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5370D960">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3E169C92">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小黄山</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13F5E621">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R06</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22AD88C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4359FF08">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520C0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7B5C1E6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675" w:type="pct"/>
                  <w:vMerge w:val="restart"/>
                  <w:tcBorders>
                    <w:top w:val="single" w:color="000000" w:sz="4" w:space="0"/>
                    <w:left w:val="single" w:color="000000" w:sz="4" w:space="0"/>
                    <w:bottom w:val="single" w:color="000000" w:sz="4" w:space="0"/>
                    <w:right w:val="single" w:color="000000" w:sz="4" w:space="0"/>
                  </w:tcBorders>
                  <w:noWrap/>
                  <w:vAlign w:val="center"/>
                </w:tcPr>
                <w:p w14:paraId="57DB1BE4">
                  <w:pPr>
                    <w:keepNext w:val="0"/>
                    <w:keepLines w:val="0"/>
                    <w:widowControl/>
                    <w:suppressLineNumbers w:val="0"/>
                    <w:spacing w:line="240" w:lineRule="auto"/>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新公路</w:t>
                  </w: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53BE28EF">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石韭坑</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4C895EC8">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R05</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37990CCA">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61BEFD08">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0CC45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5680185B">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65FD5894">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29AB7CB1">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第一峰新公路</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687723E1">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Q04</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ACDB7BB">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02DADD70">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184366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3D0BD678">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0E802210">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4A62DF87">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第一峰新公路步道</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34746B93">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Q05</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18BCC3FF">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3954C1B9">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 </w:t>
                  </w:r>
                </w:p>
              </w:tc>
            </w:tr>
            <w:tr w14:paraId="7333D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5C8FE51D">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w:t>
                  </w:r>
                </w:p>
              </w:tc>
              <w:tc>
                <w:tcPr>
                  <w:tcW w:w="675" w:type="pct"/>
                  <w:vMerge w:val="restart"/>
                  <w:tcBorders>
                    <w:top w:val="single" w:color="000000" w:sz="4" w:space="0"/>
                    <w:left w:val="single" w:color="000000" w:sz="4" w:space="0"/>
                    <w:bottom w:val="single" w:color="000000" w:sz="4" w:space="0"/>
                    <w:right w:val="single" w:color="000000" w:sz="4" w:space="0"/>
                  </w:tcBorders>
                  <w:noWrap/>
                  <w:vAlign w:val="center"/>
                </w:tcPr>
                <w:p w14:paraId="2BDD2DD7">
                  <w:pPr>
                    <w:keepNext w:val="0"/>
                    <w:keepLines w:val="0"/>
                    <w:widowControl/>
                    <w:suppressLineNumbers w:val="0"/>
                    <w:spacing w:line="240" w:lineRule="auto"/>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溪线</w:t>
                  </w: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0D77A9B9">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白马坑桥头—瀑布群</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1E76595B">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T05</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214855AB">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085E45AC">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lang w:val="en-US"/>
                    </w:rPr>
                  </w:pPr>
                  <w:r>
                    <w:rPr>
                      <w:rFonts w:hint="eastAsia" w:ascii="宋体" w:hAnsi="宋体" w:eastAsia="宋体" w:cs="宋体"/>
                      <w:i w:val="0"/>
                      <w:iCs w:val="0"/>
                      <w:color w:val="000000"/>
                      <w:kern w:val="0"/>
                      <w:sz w:val="18"/>
                      <w:szCs w:val="18"/>
                      <w:highlight w:val="none"/>
                      <w:u w:val="none"/>
                      <w:lang w:val="en-US" w:eastAsia="zh-CN" w:bidi="ar"/>
                    </w:rPr>
                    <w:t>2.0</w:t>
                  </w:r>
                </w:p>
              </w:tc>
            </w:tr>
            <w:tr w14:paraId="28CC9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7DBA96AC">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38AB4187">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7CF65AFB">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相思坑</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788D76C4">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Q03</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084E55F1">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5F02E56E">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7DC51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2FBE04C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2C3ECA03">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5F2B1EBA">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八宝山</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31B0CF5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R04</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785C6B00">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00B6CC3B">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32282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621E63C9">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19EA7D24">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790BD68F">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公园大门</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71B968E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U05</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80EE7AA">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7B671E40">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1F7A24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0F80D897">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w:t>
                  </w:r>
                </w:p>
              </w:tc>
              <w:tc>
                <w:tcPr>
                  <w:tcW w:w="675" w:type="pct"/>
                  <w:vMerge w:val="restart"/>
                  <w:tcBorders>
                    <w:top w:val="single" w:color="000000" w:sz="4" w:space="0"/>
                    <w:left w:val="single" w:color="000000" w:sz="4" w:space="0"/>
                    <w:bottom w:val="single" w:color="000000" w:sz="4" w:space="0"/>
                    <w:right w:val="single" w:color="000000" w:sz="4" w:space="0"/>
                  </w:tcBorders>
                  <w:noWrap/>
                  <w:vAlign w:val="center"/>
                </w:tcPr>
                <w:p w14:paraId="21527159">
                  <w:pPr>
                    <w:keepNext w:val="0"/>
                    <w:keepLines w:val="0"/>
                    <w:widowControl/>
                    <w:suppressLineNumbers w:val="0"/>
                    <w:spacing w:line="240" w:lineRule="auto"/>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大坳</w:t>
                  </w: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79FE9680">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安家水</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7FD98671">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Q08</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40FB130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5A69D530">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4DA7AB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3EC6DBC6">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16</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39189D81">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1E25AD9E">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安家水</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4394D18B">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Q09</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2E771019">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40B53419">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20E45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596741AA">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17</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719B8DDD">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67EBFBF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江坪</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2A665159">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P09</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39C84C79">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2525E1A6">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57356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2C0FE1BA">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19174409">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33BA83C1">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大坳</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2B4299B1">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O09</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328225B9">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稀树灌丛</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106B8AD9">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73CEC7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52801E7E">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19</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3BCA91A2">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0742A5E1">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江坑水电站</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5F635D23">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N08</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1A58F8DD">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5F8ACF4E">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380085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1A90DDFA">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65DE1F8F">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25B41CB7">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韶阳电站</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572DCC33">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O08</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20BFF2A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24B00C58">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5397C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6AAE1AFF">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lang w:val="en-US" w:eastAsia="zh-CN"/>
                    </w:rPr>
                  </w:pPr>
                  <w:r>
                    <w:rPr>
                      <w:rFonts w:hint="eastAsia" w:ascii="宋体" w:hAnsi="宋体" w:eastAsia="宋体" w:cs="宋体"/>
                      <w:i w:val="0"/>
                      <w:iCs w:val="0"/>
                      <w:color w:val="000000"/>
                      <w:sz w:val="18"/>
                      <w:szCs w:val="18"/>
                      <w:highlight w:val="none"/>
                      <w:u w:val="none"/>
                      <w:lang w:val="en-US" w:eastAsia="zh-CN"/>
                    </w:rPr>
                    <w:t>21</w:t>
                  </w:r>
                </w:p>
              </w:tc>
              <w:tc>
                <w:tcPr>
                  <w:tcW w:w="675" w:type="pct"/>
                  <w:vMerge w:val="restart"/>
                  <w:tcBorders>
                    <w:top w:val="single" w:color="000000" w:sz="4" w:space="0"/>
                    <w:left w:val="single" w:color="000000" w:sz="4" w:space="0"/>
                    <w:bottom w:val="single" w:color="000000" w:sz="4" w:space="0"/>
                    <w:right w:val="single" w:color="000000" w:sz="4" w:space="0"/>
                  </w:tcBorders>
                  <w:noWrap/>
                  <w:vAlign w:val="center"/>
                </w:tcPr>
                <w:p w14:paraId="0F5B62C3">
                  <w:pPr>
                    <w:keepNext w:val="0"/>
                    <w:keepLines w:val="0"/>
                    <w:widowControl/>
                    <w:suppressLineNumbers w:val="0"/>
                    <w:spacing w:line="240" w:lineRule="auto"/>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太平洞</w:t>
                  </w: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2DF2420B">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第一峰岔路口</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7565BF75">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P04</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48B55210">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561AA2E3">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18A9C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210E8C59">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22</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295EBE06">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3FB01235">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太平洞</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52896047">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O05</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16275C0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0C6E32F0">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0B74C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470E3B2A">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23</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0B896061">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7239F47D">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南木</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4F2DFC7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P07</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70CD1745">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327F21DC">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69840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2184EB39">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24</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3A52CE45">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0B6E246C">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下洞</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415C6920">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O07</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7CE13D2C">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1F48585F">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55453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11EDA161">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25</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6CDE7946">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4C4E93CE">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十山坑</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2DBB1F36">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N07</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13C3B309">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287D14FA">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351BB3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5404A6D9">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26</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041223FB">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3EFDD544">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上洞</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4C4B542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O06</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77CB6B4">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村落</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49EA4399">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61D09A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455DE191">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27</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21892DDB">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2F252418">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橏梨坪</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2297332B">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N06</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72D69B39">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村落</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74B3EFB1">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6DECC9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7F6D9F01">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28</w:t>
                  </w:r>
                </w:p>
              </w:tc>
              <w:tc>
                <w:tcPr>
                  <w:tcW w:w="675" w:type="pct"/>
                  <w:vMerge w:val="restart"/>
                  <w:tcBorders>
                    <w:top w:val="single" w:color="000000" w:sz="4" w:space="0"/>
                    <w:left w:val="single" w:color="000000" w:sz="4" w:space="0"/>
                    <w:bottom w:val="single" w:color="000000" w:sz="4" w:space="0"/>
                    <w:right w:val="single" w:color="000000" w:sz="4" w:space="0"/>
                  </w:tcBorders>
                  <w:noWrap/>
                  <w:vAlign w:val="center"/>
                </w:tcPr>
                <w:p w14:paraId="3F60C09C">
                  <w:pPr>
                    <w:keepNext w:val="0"/>
                    <w:keepLines w:val="0"/>
                    <w:widowControl/>
                    <w:suppressLineNumbers w:val="0"/>
                    <w:spacing w:line="240" w:lineRule="auto"/>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场部</w:t>
                  </w: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7A47D822">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四工区</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5DDC4C9A">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V04</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7080C1D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村落</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504D4CE1">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69F74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2D94411D">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29</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0A98D044">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5BA9F04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一峰生态园</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47DC2C25">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V05</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40D81F80">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58A2DBD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045BD3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7B516770">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30</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366D185D">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5B2DA5FF">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鱼骨坝</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696C0921">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V06</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6B9AAE1">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6A9845DA">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499C6B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1454DBE8">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31</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190AA0F7">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6E12B05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场部</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5D548F15">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U04</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96FA28D">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村落</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26768C58">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3.0 </w:t>
                  </w:r>
                </w:p>
              </w:tc>
            </w:tr>
            <w:tr w14:paraId="111ACE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6321AD25">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32</w:t>
                  </w:r>
                </w:p>
              </w:tc>
              <w:tc>
                <w:tcPr>
                  <w:tcW w:w="675" w:type="pct"/>
                  <w:vMerge w:val="restart"/>
                  <w:tcBorders>
                    <w:top w:val="single" w:color="000000" w:sz="4" w:space="0"/>
                    <w:left w:val="single" w:color="000000" w:sz="4" w:space="0"/>
                    <w:bottom w:val="single" w:color="000000" w:sz="4" w:space="0"/>
                    <w:right w:val="single" w:color="000000" w:sz="4" w:space="0"/>
                  </w:tcBorders>
                  <w:noWrap/>
                  <w:vAlign w:val="center"/>
                </w:tcPr>
                <w:p w14:paraId="50D870DF">
                  <w:pPr>
                    <w:keepNext w:val="0"/>
                    <w:keepLines w:val="0"/>
                    <w:widowControl/>
                    <w:suppressLineNumbers w:val="0"/>
                    <w:spacing w:line="240" w:lineRule="auto"/>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龙线</w:t>
                  </w: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5BB3B0C5">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横龙北</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2D72276A">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T08</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150F6DA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7DEDC85E">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5B7A6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68BFE124">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33</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169669D3">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1ED42D6A">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横龙北路口</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3A95266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U08</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3089BAF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0B1809C7">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39398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7FE2D3AF">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34</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526E7788">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1F2729F4">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龙四路口</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25EE79AC">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V09</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E6B7FA2">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32A4BCB3">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318E1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0759807F">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35</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513BD60F">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6D20E39A">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天门嶂6km</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4F5BAF1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U06</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038D6BEA">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5E09D973">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257E95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75330B5F">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lang w:val="en-US" w:eastAsia="zh-CN"/>
                    </w:rPr>
                  </w:pPr>
                  <w:r>
                    <w:rPr>
                      <w:rFonts w:hint="eastAsia" w:ascii="宋体" w:hAnsi="宋体" w:eastAsia="宋体" w:cs="宋体"/>
                      <w:i w:val="0"/>
                      <w:iCs w:val="0"/>
                      <w:color w:val="000000"/>
                      <w:sz w:val="18"/>
                      <w:szCs w:val="18"/>
                      <w:highlight w:val="none"/>
                      <w:u w:val="none"/>
                      <w:lang w:val="en-US" w:eastAsia="zh-CN"/>
                    </w:rPr>
                    <w:t>36</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49D48125">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577B81F3">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天门嶂8.8km</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55EDAE88">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U07</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7E2E28C8">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6F0F2703">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36504C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52FF87EE">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lang w:val="en-US" w:eastAsia="zh-CN"/>
                    </w:rPr>
                  </w:pPr>
                  <w:r>
                    <w:rPr>
                      <w:rFonts w:hint="eastAsia" w:ascii="宋体" w:hAnsi="宋体" w:eastAsia="宋体" w:cs="宋体"/>
                      <w:i w:val="0"/>
                      <w:iCs w:val="0"/>
                      <w:color w:val="000000"/>
                      <w:sz w:val="18"/>
                      <w:szCs w:val="18"/>
                      <w:highlight w:val="none"/>
                      <w:u w:val="none"/>
                      <w:lang w:val="en-US" w:eastAsia="zh-CN"/>
                    </w:rPr>
                    <w:t>37</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10FBA91C">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2EEB1035">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龙三电站</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0AEACE51">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U09</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45CA3FF4">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16DFDDCC">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17ACD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30040786">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38</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04E10E9E">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35890C8B">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龙一电站</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189E7604">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T09</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5B35B59B">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19526C2E">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48CE1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4ED0CFB1">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39</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28074B52">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2CEE4579">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横龙北</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0D82C322">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S08</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26B3A604">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6D2C17B9">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6DBE05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3EF5C1B7">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40</w:t>
                  </w:r>
                </w:p>
              </w:tc>
              <w:tc>
                <w:tcPr>
                  <w:tcW w:w="675" w:type="pct"/>
                  <w:tcBorders>
                    <w:top w:val="single" w:color="000000" w:sz="4" w:space="0"/>
                    <w:left w:val="single" w:color="000000" w:sz="4" w:space="0"/>
                    <w:bottom w:val="single" w:color="000000" w:sz="4" w:space="0"/>
                    <w:right w:val="single" w:color="000000" w:sz="4" w:space="0"/>
                  </w:tcBorders>
                  <w:noWrap/>
                  <w:vAlign w:val="bottom"/>
                </w:tcPr>
                <w:p w14:paraId="380F1185">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梯下</w:t>
                  </w: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02BFF5B1">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弯河</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7CCDCFC1">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W07</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7BD3953F">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0E98ADEA">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154AE9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5F992CF8">
                  <w:pPr>
                    <w:keepNext w:val="0"/>
                    <w:keepLines w:val="0"/>
                    <w:widowControl/>
                    <w:suppressLineNumbers w:val="0"/>
                    <w:spacing w:line="240" w:lineRule="auto"/>
                    <w:jc w:val="center"/>
                    <w:textAlignment w:val="bottom"/>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41</w:t>
                  </w:r>
                </w:p>
              </w:tc>
              <w:tc>
                <w:tcPr>
                  <w:tcW w:w="675" w:type="pct"/>
                  <w:vMerge w:val="restart"/>
                  <w:tcBorders>
                    <w:top w:val="single" w:color="000000" w:sz="4" w:space="0"/>
                    <w:left w:val="single" w:color="000000" w:sz="4" w:space="0"/>
                    <w:bottom w:val="single" w:color="000000" w:sz="4" w:space="0"/>
                    <w:right w:val="single" w:color="000000" w:sz="4" w:space="0"/>
                  </w:tcBorders>
                  <w:noWrap/>
                  <w:vAlign w:val="center"/>
                </w:tcPr>
                <w:p w14:paraId="63318C2D">
                  <w:pPr>
                    <w:keepNext w:val="0"/>
                    <w:keepLines w:val="0"/>
                    <w:widowControl/>
                    <w:suppressLineNumbers w:val="0"/>
                    <w:spacing w:line="240" w:lineRule="auto"/>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青溪洞</w:t>
                  </w: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3E3AC258">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乡车下</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6EAB916A">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S02</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0A6438F8">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针阔混交林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49675FDC">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r w14:paraId="6FE844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tblHeader/>
                <w:jc w:val="center"/>
              </w:trPr>
              <w:tc>
                <w:tcPr>
                  <w:tcW w:w="417" w:type="pct"/>
                  <w:tcBorders>
                    <w:top w:val="single" w:color="000000" w:sz="4" w:space="0"/>
                    <w:left w:val="single" w:color="000000" w:sz="4" w:space="0"/>
                    <w:bottom w:val="single" w:color="000000" w:sz="4" w:space="0"/>
                    <w:right w:val="single" w:color="000000" w:sz="4" w:space="0"/>
                  </w:tcBorders>
                  <w:noWrap/>
                  <w:vAlign w:val="bottom"/>
                </w:tcPr>
                <w:p w14:paraId="42A875BD">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lang w:val="en-US"/>
                    </w:rPr>
                  </w:pPr>
                  <w:r>
                    <w:rPr>
                      <w:rFonts w:hint="eastAsia" w:ascii="宋体" w:hAnsi="宋体" w:eastAsia="宋体" w:cs="宋体"/>
                      <w:i w:val="0"/>
                      <w:iCs w:val="0"/>
                      <w:color w:val="000000"/>
                      <w:kern w:val="0"/>
                      <w:sz w:val="18"/>
                      <w:szCs w:val="18"/>
                      <w:highlight w:val="none"/>
                      <w:u w:val="none"/>
                      <w:lang w:val="en-US" w:eastAsia="zh-CN" w:bidi="ar"/>
                    </w:rPr>
                    <w:t>42</w:t>
                  </w:r>
                </w:p>
              </w:tc>
              <w:tc>
                <w:tcPr>
                  <w:tcW w:w="675" w:type="pct"/>
                  <w:vMerge w:val="continue"/>
                  <w:tcBorders>
                    <w:top w:val="single" w:color="000000" w:sz="4" w:space="0"/>
                    <w:left w:val="single" w:color="000000" w:sz="4" w:space="0"/>
                    <w:bottom w:val="single" w:color="000000" w:sz="4" w:space="0"/>
                    <w:right w:val="single" w:color="000000" w:sz="4" w:space="0"/>
                  </w:tcBorders>
                  <w:noWrap/>
                  <w:vAlign w:val="center"/>
                </w:tcPr>
                <w:p w14:paraId="7B930E9B">
                  <w:pPr>
                    <w:spacing w:line="240" w:lineRule="auto"/>
                    <w:jc w:val="center"/>
                    <w:rPr>
                      <w:rFonts w:hint="eastAsia" w:ascii="宋体" w:hAnsi="宋体" w:eastAsia="宋体" w:cs="宋体"/>
                      <w:i w:val="0"/>
                      <w:iCs w:val="0"/>
                      <w:color w:val="000000"/>
                      <w:sz w:val="18"/>
                      <w:szCs w:val="18"/>
                      <w:highlight w:val="none"/>
                      <w:u w:val="none"/>
                    </w:rPr>
                  </w:pPr>
                </w:p>
              </w:tc>
              <w:tc>
                <w:tcPr>
                  <w:tcW w:w="1601" w:type="pct"/>
                  <w:tcBorders>
                    <w:top w:val="single" w:color="000000" w:sz="4" w:space="0"/>
                    <w:left w:val="single" w:color="000000" w:sz="4" w:space="0"/>
                    <w:bottom w:val="single" w:color="000000" w:sz="4" w:space="0"/>
                    <w:right w:val="single" w:color="000000" w:sz="4" w:space="0"/>
                  </w:tcBorders>
                  <w:noWrap/>
                  <w:vAlign w:val="bottom"/>
                </w:tcPr>
                <w:p w14:paraId="45802A05">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乐昌八宝山</w:t>
                  </w:r>
                </w:p>
              </w:tc>
              <w:tc>
                <w:tcPr>
                  <w:tcW w:w="636" w:type="pct"/>
                  <w:tcBorders>
                    <w:top w:val="single" w:color="000000" w:sz="4" w:space="0"/>
                    <w:left w:val="single" w:color="000000" w:sz="4" w:space="0"/>
                    <w:bottom w:val="single" w:color="000000" w:sz="4" w:space="0"/>
                    <w:right w:val="single" w:color="000000" w:sz="4" w:space="0"/>
                  </w:tcBorders>
                  <w:noWrap/>
                  <w:vAlign w:val="bottom"/>
                </w:tcPr>
                <w:p w14:paraId="5ABDD819">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R01</w:t>
                  </w:r>
                </w:p>
              </w:tc>
              <w:tc>
                <w:tcPr>
                  <w:tcW w:w="914" w:type="pct"/>
                  <w:tcBorders>
                    <w:top w:val="single" w:color="000000" w:sz="4" w:space="0"/>
                    <w:left w:val="single" w:color="000000" w:sz="4" w:space="0"/>
                    <w:bottom w:val="single" w:color="000000" w:sz="4" w:space="0"/>
                    <w:right w:val="single" w:color="000000" w:sz="4" w:space="0"/>
                  </w:tcBorders>
                  <w:noWrap/>
                  <w:vAlign w:val="bottom"/>
                </w:tcPr>
                <w:p w14:paraId="69092AD4">
                  <w:pPr>
                    <w:keepNext w:val="0"/>
                    <w:keepLines w:val="0"/>
                    <w:widowControl/>
                    <w:suppressLineNumbers w:val="0"/>
                    <w:spacing w:line="240" w:lineRule="auto"/>
                    <w:jc w:val="left"/>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常绿阔叶林</w:t>
                  </w:r>
                </w:p>
              </w:tc>
              <w:tc>
                <w:tcPr>
                  <w:tcW w:w="755" w:type="pct"/>
                  <w:tcBorders>
                    <w:top w:val="single" w:color="000000" w:sz="4" w:space="0"/>
                    <w:left w:val="single" w:color="000000" w:sz="4" w:space="0"/>
                    <w:bottom w:val="single" w:color="000000" w:sz="4" w:space="0"/>
                    <w:right w:val="single" w:color="000000" w:sz="4" w:space="0"/>
                  </w:tcBorders>
                  <w:noWrap/>
                  <w:vAlign w:val="bottom"/>
                </w:tcPr>
                <w:p w14:paraId="1366B646">
                  <w:pPr>
                    <w:keepNext w:val="0"/>
                    <w:keepLines w:val="0"/>
                    <w:widowControl/>
                    <w:suppressLineNumbers w:val="0"/>
                    <w:spacing w:line="240" w:lineRule="auto"/>
                    <w:jc w:val="center"/>
                    <w:textAlignment w:val="bottom"/>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 </w:t>
                  </w:r>
                </w:p>
              </w:tc>
            </w:tr>
          </w:tbl>
          <w:p w14:paraId="40AE852B">
            <w:pPr>
              <w:keepNext w:val="0"/>
              <w:keepLines w:val="0"/>
              <w:pageBreakBefore w:val="0"/>
              <w:widowControl w:val="0"/>
              <w:kinsoku/>
              <w:wordWrap/>
              <w:overflowPunct/>
              <w:topLinePunct w:val="0"/>
              <w:autoSpaceDE/>
              <w:autoSpaceDN/>
              <w:bidi w:val="0"/>
              <w:adjustRightInd w:val="0"/>
              <w:snapToGrid w:val="0"/>
              <w:spacing w:line="240" w:lineRule="auto"/>
              <w:ind w:firstLine="440" w:firstLineChars="200"/>
              <w:textAlignment w:val="auto"/>
              <w:rPr>
                <w:rFonts w:hint="default" w:ascii="宋体" w:hAnsi="宋体" w:eastAsia="宋体" w:cs="宋体"/>
                <w:b w:val="0"/>
                <w:bCs w:val="0"/>
                <w:color w:val="000000"/>
                <w:kern w:val="0"/>
                <w:sz w:val="22"/>
                <w:szCs w:val="22"/>
                <w:highlight w:val="none"/>
                <w:lang w:val="en-US" w:eastAsia="zh-CN" w:bidi="ar-SA"/>
              </w:rPr>
            </w:pPr>
            <w:r>
              <w:rPr>
                <w:rFonts w:hint="eastAsia" w:ascii="宋体" w:hAnsi="宋体" w:eastAsia="宋体" w:cs="宋体"/>
                <w:b w:val="0"/>
                <w:bCs w:val="0"/>
                <w:color w:val="000000"/>
                <w:kern w:val="0"/>
                <w:sz w:val="22"/>
                <w:szCs w:val="22"/>
                <w:highlight w:val="none"/>
                <w:lang w:val="en-US" w:eastAsia="zh-CN" w:bidi="ar-SA"/>
              </w:rPr>
              <w:t>4.</w:t>
            </w:r>
            <w:r>
              <w:rPr>
                <w:rFonts w:hint="default" w:ascii="宋体" w:hAnsi="宋体" w:eastAsia="宋体" w:cs="宋体"/>
                <w:b w:val="0"/>
                <w:bCs w:val="0"/>
                <w:color w:val="000000"/>
                <w:kern w:val="0"/>
                <w:sz w:val="22"/>
                <w:szCs w:val="22"/>
                <w:highlight w:val="none"/>
                <w:lang w:val="en-US" w:eastAsia="zh-CN" w:bidi="ar-SA"/>
              </w:rPr>
              <w:t>监测方法</w:t>
            </w:r>
          </w:p>
          <w:p w14:paraId="4907F98B">
            <w:pPr>
              <w:keepNext w:val="0"/>
              <w:keepLines w:val="0"/>
              <w:pageBreakBefore w:val="0"/>
              <w:widowControl w:val="0"/>
              <w:kinsoku/>
              <w:wordWrap/>
              <w:overflowPunct/>
              <w:topLinePunct w:val="0"/>
              <w:autoSpaceDE/>
              <w:autoSpaceDN/>
              <w:bidi w:val="0"/>
              <w:adjustRightInd w:val="0"/>
              <w:snapToGrid w:val="0"/>
              <w:spacing w:line="240" w:lineRule="auto"/>
              <w:ind w:firstLine="440" w:firstLineChars="200"/>
              <w:textAlignment w:val="auto"/>
              <w:rPr>
                <w:rFonts w:hint="default" w:ascii="宋体" w:hAnsi="宋体" w:eastAsia="宋体" w:cs="宋体"/>
                <w:color w:val="000000"/>
                <w:kern w:val="0"/>
                <w:sz w:val="22"/>
                <w:szCs w:val="22"/>
                <w:highlight w:val="none"/>
                <w:lang w:val="en-US" w:eastAsia="zh-CN" w:bidi="ar-SA"/>
              </w:rPr>
            </w:pPr>
            <w:r>
              <w:rPr>
                <w:rFonts w:hint="default" w:ascii="宋体" w:hAnsi="宋体" w:eastAsia="宋体" w:cs="宋体"/>
                <w:color w:val="000000"/>
                <w:kern w:val="0"/>
                <w:sz w:val="22"/>
                <w:szCs w:val="22"/>
                <w:highlight w:val="none"/>
                <w:lang w:val="en-US" w:eastAsia="zh-CN" w:bidi="ar-SA"/>
              </w:rPr>
              <w:t>采用样线调查法，调查人员沿固定样线以1</w:t>
            </w:r>
            <w:r>
              <w:rPr>
                <w:rFonts w:hint="eastAsia" w:ascii="宋体" w:hAnsi="宋体" w:eastAsia="宋体" w:cs="宋体"/>
                <w:color w:val="000000"/>
                <w:kern w:val="0"/>
                <w:sz w:val="22"/>
                <w:szCs w:val="22"/>
                <w:highlight w:val="none"/>
                <w:lang w:val="en-US" w:eastAsia="zh-CN" w:bidi="ar-SA"/>
              </w:rPr>
              <w:t>-</w:t>
            </w:r>
            <w:r>
              <w:rPr>
                <w:rFonts w:hint="default" w:ascii="宋体" w:hAnsi="宋体" w:eastAsia="宋体" w:cs="宋体"/>
                <w:color w:val="000000"/>
                <w:kern w:val="0"/>
                <w:sz w:val="22"/>
                <w:szCs w:val="22"/>
                <w:highlight w:val="none"/>
                <w:lang w:val="en-US" w:eastAsia="zh-CN" w:bidi="ar-SA"/>
              </w:rPr>
              <w:t>2 km/h的速度行进，用8×42双筒望远镜进行观察，记录样线两侧50 m内发现的鸟类个体（听到和看到的），包括种类、数量、距离（水平、垂直）、活动行为、所在基质等。通过手机APP进行数据记录，同时记录样线轨迹，拍摄</w:t>
            </w:r>
            <w:r>
              <w:rPr>
                <w:rFonts w:hint="eastAsia" w:ascii="宋体" w:hAnsi="宋体" w:eastAsia="宋体" w:cs="宋体"/>
                <w:color w:val="000000"/>
                <w:kern w:val="0"/>
                <w:sz w:val="22"/>
                <w:szCs w:val="22"/>
                <w:highlight w:val="none"/>
                <w:lang w:val="en-US" w:eastAsia="zh-CN" w:bidi="ar-SA"/>
              </w:rPr>
              <w:t>鸟类及生境</w:t>
            </w:r>
            <w:r>
              <w:rPr>
                <w:rFonts w:hint="default" w:ascii="宋体" w:hAnsi="宋体" w:eastAsia="宋体" w:cs="宋体"/>
                <w:color w:val="000000"/>
                <w:kern w:val="0"/>
                <w:sz w:val="22"/>
                <w:szCs w:val="22"/>
                <w:highlight w:val="none"/>
                <w:lang w:val="en-US" w:eastAsia="zh-CN" w:bidi="ar-SA"/>
              </w:rPr>
              <w:t>照片。</w:t>
            </w:r>
          </w:p>
          <w:p w14:paraId="6206F53E">
            <w:pPr>
              <w:pStyle w:val="17"/>
              <w:keepNext w:val="0"/>
              <w:keepLines w:val="0"/>
              <w:pageBreakBefore w:val="0"/>
              <w:numPr>
                <w:ilvl w:val="0"/>
                <w:numId w:val="0"/>
              </w:numPr>
              <w:tabs>
                <w:tab w:val="left" w:pos="540"/>
              </w:tabs>
              <w:kinsoku/>
              <w:wordWrap/>
              <w:overflowPunct/>
              <w:topLinePunct w:val="0"/>
              <w:autoSpaceDE/>
              <w:autoSpaceDN/>
              <w:bidi w:val="0"/>
              <w:adjustRightInd w:val="0"/>
              <w:snapToGrid w:val="0"/>
              <w:spacing w:beforeAutospacing="0" w:afterAutospacing="0" w:line="240" w:lineRule="auto"/>
              <w:ind w:left="482" w:leftChars="0"/>
              <w:rPr>
                <w:rFonts w:hint="eastAsia" w:ascii="宋体" w:hAnsi="宋体" w:eastAsia="宋体" w:cs="宋体"/>
                <w:b/>
                <w:bCs/>
                <w:sz w:val="22"/>
                <w:szCs w:val="22"/>
                <w:highlight w:val="none"/>
              </w:rPr>
            </w:pPr>
            <w:r>
              <w:rPr>
                <w:rFonts w:hint="eastAsia" w:hAnsi="宋体" w:eastAsia="宋体" w:cs="宋体"/>
                <w:b/>
                <w:bCs/>
                <w:sz w:val="22"/>
                <w:szCs w:val="22"/>
                <w:highlight w:val="none"/>
                <w:lang w:val="en-US" w:eastAsia="zh-CN"/>
              </w:rPr>
              <w:t>五、</w:t>
            </w:r>
            <w:r>
              <w:rPr>
                <w:rFonts w:hint="eastAsia" w:ascii="宋体" w:hAnsi="宋体" w:eastAsia="宋体" w:cs="宋体"/>
                <w:b/>
                <w:bCs/>
                <w:sz w:val="22"/>
                <w:szCs w:val="22"/>
                <w:highlight w:val="none"/>
              </w:rPr>
              <w:t>采购项目商务要求</w:t>
            </w:r>
          </w:p>
          <w:p w14:paraId="5186C1A9">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eastAsia="zh-CN"/>
              </w:rPr>
            </w:pPr>
            <w:r>
              <w:rPr>
                <w:rFonts w:hint="eastAsia" w:ascii="宋体" w:hAnsi="宋体" w:eastAsia="宋体" w:cs="宋体"/>
                <w:color w:val="000000"/>
                <w:sz w:val="22"/>
                <w:szCs w:val="22"/>
                <w:highlight w:val="none"/>
                <w:lang w:val="en-US" w:eastAsia="zh-CN"/>
              </w:rPr>
              <w:t>（一）</w:t>
            </w:r>
            <w:r>
              <w:rPr>
                <w:rFonts w:hint="eastAsia" w:ascii="宋体" w:hAnsi="宋体" w:eastAsia="宋体" w:cs="宋体"/>
                <w:color w:val="000000"/>
                <w:sz w:val="22"/>
                <w:szCs w:val="22"/>
                <w:highlight w:val="none"/>
                <w:lang w:eastAsia="zh-CN"/>
              </w:rPr>
              <w:t>服务期：</w:t>
            </w:r>
            <w:r>
              <w:rPr>
                <w:rFonts w:hint="eastAsia" w:ascii="宋体" w:hAnsi="宋体" w:eastAsia="宋体" w:cs="宋体"/>
                <w:sz w:val="22"/>
                <w:szCs w:val="22"/>
                <w:highlight w:val="none"/>
                <w:lang w:val="en-US" w:eastAsia="zh-CN"/>
              </w:rPr>
              <w:t>合同签订之日起至2026年12月31日前完成实施</w:t>
            </w:r>
          </w:p>
          <w:p w14:paraId="38B15B88">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eastAsia="zh-CN"/>
              </w:rPr>
            </w:pPr>
            <w:r>
              <w:rPr>
                <w:rFonts w:hint="eastAsia" w:ascii="宋体" w:hAnsi="宋体" w:eastAsia="宋体" w:cs="宋体"/>
                <w:color w:val="000000"/>
                <w:sz w:val="22"/>
                <w:szCs w:val="22"/>
                <w:highlight w:val="none"/>
                <w:lang w:val="en-US" w:eastAsia="zh-CN"/>
              </w:rPr>
              <w:t>（二）服务地点：采购人指定地点</w:t>
            </w:r>
          </w:p>
          <w:p w14:paraId="0B72538B">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bookmarkStart w:id="0" w:name="_Toc30170"/>
            <w:r>
              <w:rPr>
                <w:rFonts w:hint="eastAsia" w:ascii="宋体" w:hAnsi="宋体" w:eastAsia="宋体" w:cs="宋体"/>
                <w:color w:val="000000"/>
                <w:sz w:val="22"/>
                <w:szCs w:val="22"/>
                <w:highlight w:val="none"/>
                <w:lang w:val="en-US" w:eastAsia="zh-CN"/>
              </w:rPr>
              <w:t>（三）</w:t>
            </w:r>
            <w:bookmarkEnd w:id="0"/>
            <w:r>
              <w:rPr>
                <w:rFonts w:hint="eastAsia" w:ascii="宋体" w:hAnsi="宋体" w:eastAsia="宋体" w:cs="宋体"/>
                <w:color w:val="000000"/>
                <w:sz w:val="22"/>
                <w:szCs w:val="22"/>
                <w:highlight w:val="none"/>
                <w:lang w:val="en-US" w:eastAsia="zh-CN"/>
              </w:rPr>
              <w:t>总体要求</w:t>
            </w:r>
          </w:p>
          <w:p w14:paraId="1B14C1FE">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bookmarkStart w:id="1" w:name="_Toc13225"/>
            <w:r>
              <w:rPr>
                <w:rFonts w:hint="eastAsia" w:ascii="宋体" w:hAnsi="宋体" w:eastAsia="宋体" w:cs="宋体"/>
                <w:color w:val="000000"/>
                <w:sz w:val="22"/>
                <w:szCs w:val="22"/>
                <w:highlight w:val="none"/>
                <w:lang w:val="en-US" w:eastAsia="zh-CN"/>
              </w:rPr>
              <w:t>对每一项活动都要提前做好活动场地、交通运输、饮食卫生、活动组织等安全保障及应急预案。同时，在活动过程中配备医护人员，做好突发应急医护准备；对参与活动的人员提供活动意外保险。</w:t>
            </w:r>
          </w:p>
          <w:p w14:paraId="2BF297E5">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（四）验收</w:t>
            </w:r>
            <w:bookmarkEnd w:id="1"/>
          </w:p>
          <w:p w14:paraId="65A72E82">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 xml:space="preserve">1.验收时间：成交供应商项目完成后，认为达到项目要求的，应向采购人提出书面验收申请，采购人无异议的，7日内组织验收，验收应在采购人与成交供应商双方共同参加下进行。 </w:t>
            </w:r>
          </w:p>
          <w:p w14:paraId="60470C76">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2.验收内容：本服务项目的采购需求内容已全部完成。</w:t>
            </w:r>
          </w:p>
          <w:p w14:paraId="31DB5600">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 xml:space="preserve">3.验收按照国家或行业有关的规定、规范进行（若无有关的规定、规范可双方协商验收）。 </w:t>
            </w:r>
          </w:p>
          <w:p w14:paraId="511E114A">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4.验收时如发现服务内容不符合项目需求规定之情形或有部分内容尚未完成的，采购人应作出详尽的现场记录，并交由成交供应商签字确认，或由采购人与成交供应商双方签署备忘录。此现场记录或备忘录可用作补充、缺失的有效证据。成交供应商应根据采购人的修改意见，在商定的期限内按要求进行修改后，再进行验收，直至达到标准和要求为止，由此造成的一切费用均由成交供应商承担。</w:t>
            </w:r>
          </w:p>
          <w:p w14:paraId="619D2AC2">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（五）付款方式</w:t>
            </w:r>
          </w:p>
          <w:p w14:paraId="79BCAB2F">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1.合同签订后10个工作日内支付合同金额的60%作为预付款；完成观鸟嘉年华活动、繁殖季鸟类监测支付合同金额的30%作为进度款；项目通过采购人组织的验收后支付至合同金额的100%。</w:t>
            </w:r>
          </w:p>
          <w:p w14:paraId="2C5B7781">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2.成交供应商凭以下有效文件与采购人结算：</w:t>
            </w:r>
          </w:p>
          <w:p w14:paraId="7CFC1DAF">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①合同；</w:t>
            </w:r>
          </w:p>
          <w:p w14:paraId="43AC4FEE">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②成交供应商开具的正式发票；</w:t>
            </w:r>
          </w:p>
          <w:p w14:paraId="17123339">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color w:val="000000"/>
                <w:sz w:val="22"/>
                <w:szCs w:val="22"/>
                <w:highlight w:val="none"/>
                <w:lang w:val="en-US" w:eastAsia="zh-CN"/>
              </w:rPr>
            </w:pPr>
            <w:r>
              <w:rPr>
                <w:rFonts w:hint="eastAsia" w:ascii="宋体" w:hAnsi="宋体" w:eastAsia="宋体" w:cs="宋体"/>
                <w:color w:val="000000"/>
                <w:sz w:val="22"/>
                <w:szCs w:val="22"/>
                <w:highlight w:val="none"/>
                <w:lang w:val="en-US" w:eastAsia="zh-CN"/>
              </w:rPr>
              <w:t>③付款申请（加盖采购人公章）。</w:t>
            </w:r>
          </w:p>
          <w:p w14:paraId="4C3592F0">
            <w:pPr>
              <w:keepNext w:val="0"/>
              <w:keepLines w:val="0"/>
              <w:pageBreakBefore w:val="0"/>
              <w:kinsoku/>
              <w:wordWrap/>
              <w:overflowPunct/>
              <w:topLinePunct w:val="0"/>
              <w:autoSpaceDE/>
              <w:autoSpaceDN/>
              <w:bidi w:val="0"/>
              <w:spacing w:beforeAutospacing="0" w:afterAutospacing="0" w:line="240" w:lineRule="auto"/>
              <w:ind w:left="0" w:leftChars="0" w:firstLine="440" w:firstLineChars="200"/>
              <w:jc w:val="left"/>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color w:val="000000"/>
                <w:sz w:val="22"/>
                <w:szCs w:val="22"/>
                <w:highlight w:val="none"/>
                <w:lang w:val="en-US" w:eastAsia="zh-CN"/>
              </w:rPr>
              <w:t>3.因采购人使用的是财政资金，采购人在前款规定的付款时间为向政府采购支付部门提出办理财政支付申请手续的时间（不含政府财政支付部门审核的时间），在规定时间内提出支付申请手续后即视为采购人已经按期支付。</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60FB1">
            <w:pPr>
              <w:keepNext w:val="0"/>
              <w:keepLines w:val="0"/>
              <w:pageBreakBefore w:val="0"/>
              <w:widowControl/>
              <w:suppressLineNumbers w:val="0"/>
              <w:kinsoku/>
              <w:wordWrap/>
              <w:overflowPunct/>
              <w:topLinePunct w:val="0"/>
              <w:bidi w:val="0"/>
              <w:adjustRightInd/>
              <w:snapToGrid/>
              <w:spacing w:line="380" w:lineRule="exact"/>
              <w:ind w:left="0" w:leftChars="0" w:firstLine="0" w:firstLineChars="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完全响应</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E780F">
            <w:pPr>
              <w:keepNext w:val="0"/>
              <w:keepLines w:val="0"/>
              <w:pageBreakBefore w:val="0"/>
              <w:widowControl/>
              <w:suppressLineNumbers w:val="0"/>
              <w:kinsoku/>
              <w:wordWrap/>
              <w:overflowPunct/>
              <w:topLinePunct w:val="0"/>
              <w:bidi w:val="0"/>
              <w:adjustRightInd/>
              <w:snapToGrid/>
              <w:spacing w:line="380" w:lineRule="exact"/>
              <w:ind w:left="0" w:leftChars="0" w:firstLine="0" w:firstLineChars="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是</w:t>
            </w:r>
          </w:p>
        </w:tc>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EC9B2">
            <w:pPr>
              <w:keepNext w:val="0"/>
              <w:keepLines w:val="0"/>
              <w:pageBreakBefore w:val="0"/>
              <w:widowControl/>
              <w:suppressLineNumbers w:val="0"/>
              <w:kinsoku/>
              <w:wordWrap/>
              <w:overflowPunct/>
              <w:topLinePunct w:val="0"/>
              <w:bidi w:val="0"/>
              <w:adjustRightInd/>
              <w:snapToGrid/>
              <w:spacing w:line="380" w:lineRule="exact"/>
              <w:ind w:left="0" w:leftChars="0" w:firstLine="0" w:firstLineChars="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16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D9421">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kern w:val="0"/>
                <w:sz w:val="21"/>
                <w:szCs w:val="21"/>
                <w:u w:val="none"/>
                <w:lang w:val="en-US" w:eastAsia="zh-CN" w:bidi="ar"/>
              </w:rPr>
            </w:pPr>
          </w:p>
        </w:tc>
        <w:tc>
          <w:tcPr>
            <w:tcW w:w="18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81CA1">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kern w:val="0"/>
                <w:sz w:val="21"/>
                <w:szCs w:val="21"/>
                <w:u w:val="none"/>
                <w:lang w:val="en-US" w:eastAsia="zh-CN" w:bidi="ar"/>
              </w:rPr>
            </w:pPr>
          </w:p>
        </w:tc>
        <w:tc>
          <w:tcPr>
            <w:tcW w:w="1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418A9">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kern w:val="0"/>
                <w:sz w:val="21"/>
                <w:szCs w:val="21"/>
                <w:u w:val="none"/>
                <w:lang w:val="en-US" w:eastAsia="zh-CN" w:bidi="ar"/>
              </w:rPr>
            </w:pP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9526A">
            <w:pPr>
              <w:keepNext w:val="0"/>
              <w:keepLines w:val="0"/>
              <w:pageBreakBefore w:val="0"/>
              <w:widowControl/>
              <w:suppressLineNumbers w:val="0"/>
              <w:kinsoku/>
              <w:wordWrap/>
              <w:overflowPunct/>
              <w:topLinePunct w:val="0"/>
              <w:bidi w:val="0"/>
              <w:adjustRightInd/>
              <w:snapToGrid/>
              <w:spacing w:line="380" w:lineRule="exact"/>
              <w:jc w:val="center"/>
              <w:textAlignment w:val="center"/>
              <w:rPr>
                <w:rFonts w:hint="eastAsia" w:ascii="宋体" w:hAnsi="宋体" w:eastAsia="宋体" w:cs="宋体"/>
                <w:b/>
                <w:bCs/>
                <w:i w:val="0"/>
                <w:iCs w:val="0"/>
                <w:color w:val="000000"/>
                <w:kern w:val="0"/>
                <w:sz w:val="21"/>
                <w:szCs w:val="21"/>
                <w:u w:val="none"/>
                <w:lang w:val="en-US" w:eastAsia="zh-CN" w:bidi="ar"/>
              </w:rPr>
            </w:pPr>
          </w:p>
        </w:tc>
      </w:tr>
      <w:tr w14:paraId="19141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2" w:hRule="atLeast"/>
          <w:jc w:val="center"/>
        </w:trPr>
        <w:tc>
          <w:tcPr>
            <w:tcW w:w="9201"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618D173">
            <w:pPr>
              <w:keepNext w:val="0"/>
              <w:keepLines w:val="0"/>
              <w:pageBreakBefore w:val="0"/>
              <w:widowControl/>
              <w:suppressLineNumbers w:val="0"/>
              <w:kinsoku/>
              <w:wordWrap/>
              <w:overflowPunct/>
              <w:topLinePunct w:val="0"/>
              <w:bidi w:val="0"/>
              <w:snapToGrid/>
              <w:spacing w:line="340" w:lineRule="exact"/>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总报价(元）</w:t>
            </w:r>
          </w:p>
        </w:tc>
        <w:tc>
          <w:tcPr>
            <w:tcW w:w="590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616E78C">
            <w:pPr>
              <w:keepNext w:val="0"/>
              <w:keepLines w:val="0"/>
              <w:pageBreakBefore w:val="0"/>
              <w:widowControl/>
              <w:suppressLineNumbers w:val="0"/>
              <w:kinsoku/>
              <w:wordWrap/>
              <w:overflowPunct/>
              <w:topLinePunct w:val="0"/>
              <w:bidi w:val="0"/>
              <w:snapToGrid/>
              <w:spacing w:line="340" w:lineRule="exact"/>
              <w:jc w:val="center"/>
              <w:textAlignment w:val="center"/>
              <w:rPr>
                <w:rFonts w:hint="eastAsia" w:ascii="宋体" w:hAnsi="宋体" w:eastAsia="宋体" w:cs="宋体"/>
                <w:i w:val="0"/>
                <w:iCs w:val="0"/>
                <w:color w:val="000000"/>
                <w:sz w:val="21"/>
                <w:szCs w:val="21"/>
                <w:u w:val="none"/>
              </w:rPr>
            </w:pPr>
          </w:p>
        </w:tc>
      </w:tr>
    </w:tbl>
    <w:p w14:paraId="55B9E610">
      <w:pPr>
        <w:pStyle w:val="6"/>
        <w:keepNext w:val="0"/>
        <w:keepLines w:val="0"/>
        <w:pageBreakBefore w:val="0"/>
        <w:widowControl w:val="0"/>
        <w:kinsoku/>
        <w:wordWrap/>
        <w:overflowPunct/>
        <w:topLinePunct w:val="0"/>
        <w:autoSpaceDE w:val="0"/>
        <w:autoSpaceDN w:val="0"/>
        <w:bidi w:val="0"/>
        <w:adjustRightInd w:val="0"/>
        <w:snapToGrid/>
        <w:spacing w:line="500" w:lineRule="exact"/>
        <w:ind w:firstLine="561"/>
        <w:textAlignment w:val="auto"/>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报价单位（公章）：</w:t>
      </w:r>
    </w:p>
    <w:p w14:paraId="64DED507">
      <w:pPr>
        <w:pStyle w:val="6"/>
        <w:keepNext w:val="0"/>
        <w:keepLines w:val="0"/>
        <w:pageBreakBefore w:val="0"/>
        <w:widowControl w:val="0"/>
        <w:kinsoku/>
        <w:wordWrap/>
        <w:overflowPunct/>
        <w:topLinePunct w:val="0"/>
        <w:autoSpaceDE w:val="0"/>
        <w:autoSpaceDN w:val="0"/>
        <w:bidi w:val="0"/>
        <w:adjustRightInd w:val="0"/>
        <w:snapToGrid/>
        <w:spacing w:line="500" w:lineRule="exact"/>
        <w:ind w:firstLine="561"/>
        <w:textAlignment w:val="auto"/>
        <w:rPr>
          <w:rFonts w:hint="eastAsia" w:ascii="宋体" w:hAnsi="宋体" w:eastAsia="宋体" w:cs="宋体"/>
          <w:i w:val="0"/>
          <w:iCs w:val="0"/>
          <w:color w:val="000000"/>
          <w:kern w:val="0"/>
          <w:sz w:val="21"/>
          <w:szCs w:val="21"/>
          <w:u w:val="none"/>
          <w:lang w:val="en-US" w:eastAsia="zh-CN" w:bidi="ar"/>
        </w:rPr>
      </w:pPr>
    </w:p>
    <w:p w14:paraId="4C63235C">
      <w:pPr>
        <w:pStyle w:val="6"/>
        <w:keepNext w:val="0"/>
        <w:keepLines w:val="0"/>
        <w:pageBreakBefore w:val="0"/>
        <w:widowControl w:val="0"/>
        <w:kinsoku/>
        <w:wordWrap/>
        <w:overflowPunct/>
        <w:topLinePunct w:val="0"/>
        <w:autoSpaceDE w:val="0"/>
        <w:autoSpaceDN w:val="0"/>
        <w:bidi w:val="0"/>
        <w:adjustRightInd w:val="0"/>
        <w:snapToGrid/>
        <w:spacing w:line="500" w:lineRule="exact"/>
        <w:ind w:firstLine="561"/>
        <w:textAlignment w:val="auto"/>
        <w:rPr>
          <w:rFonts w:hint="eastAsia"/>
          <w:lang w:val="en-US" w:eastAsia="zh-CN"/>
        </w:rPr>
      </w:pPr>
      <w:bookmarkStart w:id="2" w:name="_GoBack"/>
      <w:bookmarkEnd w:id="2"/>
      <w:r>
        <w:rPr>
          <w:rFonts w:hint="eastAsia" w:ascii="宋体" w:hAnsi="宋体" w:eastAsia="宋体" w:cs="宋体"/>
          <w:i w:val="0"/>
          <w:iCs w:val="0"/>
          <w:color w:val="000000"/>
          <w:kern w:val="0"/>
          <w:sz w:val="21"/>
          <w:szCs w:val="21"/>
          <w:u w:val="none"/>
          <w:lang w:val="en-US" w:eastAsia="zh-CN" w:bidi="ar"/>
        </w:rPr>
        <w:t>报价日期：</w:t>
      </w:r>
    </w:p>
    <w:sectPr>
      <w:footerReference r:id="rId3" w:type="default"/>
      <w:pgSz w:w="16838" w:h="11906" w:orient="landscape"/>
      <w:pgMar w:top="1191" w:right="1191" w:bottom="1020" w:left="1191" w:header="851" w:footer="992" w:gutter="0"/>
      <w:pgNumType w:fmt="decimal"/>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_x000B__x000C_">
    <w:altName w:val="Times New Roman"/>
    <w:panose1 w:val="00000000000000000000"/>
    <w:charset w:val="00"/>
    <w:family w:val="auto"/>
    <w:pitch w:val="default"/>
    <w:sig w:usb0="00000000" w:usb1="00000000" w:usb2="00000000" w:usb3="00000000" w:csb0="00040001" w:csb1="00000000"/>
  </w:font>
  <w:font w:name="仿宋_GB2312">
    <w:panose1 w:val="02010609030101010101"/>
    <w:charset w:val="86"/>
    <w:family w:val="roma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BE8FC2">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705680">
                          <w:pPr>
                            <w:pStyle w:val="2"/>
                          </w:pPr>
                          <w:r>
                            <w:t xml:space="preserve">第 </w:t>
                          </w:r>
                          <w:r>
                            <w:fldChar w:fldCharType="begin"/>
                          </w:r>
                          <w:r>
                            <w:instrText xml:space="preserve"> PAGE  \* MERGEFORMAT </w:instrText>
                          </w:r>
                          <w:r>
                            <w:fldChar w:fldCharType="separate"/>
                          </w:r>
                          <w:r>
                            <w:t>一</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9705680">
                    <w:pPr>
                      <w:pStyle w:val="2"/>
                    </w:pPr>
                    <w:r>
                      <w:t xml:space="preserve">第 </w:t>
                    </w:r>
                    <w:r>
                      <w:fldChar w:fldCharType="begin"/>
                    </w:r>
                    <w:r>
                      <w:instrText xml:space="preserve"> PAGE  \* MERGEFORMAT </w:instrText>
                    </w:r>
                    <w:r>
                      <w:fldChar w:fldCharType="separate"/>
                    </w:r>
                    <w:r>
                      <w:t>一</w:t>
                    </w:r>
                    <w:r>
                      <w:fldChar w:fldCharType="end"/>
                    </w:r>
                    <w: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7B94BD"/>
    <w:multiLevelType w:val="singleLevel"/>
    <w:tmpl w:val="A77B94BD"/>
    <w:lvl w:ilvl="0" w:tentative="0">
      <w:start w:val="1"/>
      <w:numFmt w:val="decimalEnclosedCircleChinese"/>
      <w:suff w:val="nothing"/>
      <w:lvlText w:val="%1　"/>
      <w:lvlJc w:val="left"/>
      <w:pPr>
        <w:ind w:left="0" w:firstLine="400"/>
      </w:pPr>
      <w:rPr>
        <w:rFonts w:hint="eastAsia"/>
      </w:rPr>
    </w:lvl>
  </w:abstractNum>
  <w:abstractNum w:abstractNumId="1">
    <w:nsid w:val="FF4CDF42"/>
    <w:multiLevelType w:val="singleLevel"/>
    <w:tmpl w:val="FF4CDF42"/>
    <w:lvl w:ilvl="0" w:tentative="0">
      <w:start w:val="3"/>
      <w:numFmt w:val="chineseCounting"/>
      <w:suff w:val="nothing"/>
      <w:lvlText w:val="（%1）"/>
      <w:lvlJc w:val="left"/>
      <w:rPr>
        <w:rFonts w:hint="eastAsia"/>
      </w:rPr>
    </w:lvl>
  </w:abstractNum>
  <w:abstractNum w:abstractNumId="2">
    <w:nsid w:val="090B74BB"/>
    <w:multiLevelType w:val="singleLevel"/>
    <w:tmpl w:val="090B74BB"/>
    <w:lvl w:ilvl="0" w:tentative="0">
      <w:start w:val="1"/>
      <w:numFmt w:val="decimalEnclosedCircleChinese"/>
      <w:suff w:val="nothing"/>
      <w:lvlText w:val="%1　"/>
      <w:lvlJc w:val="left"/>
      <w:pPr>
        <w:ind w:left="0" w:firstLine="400"/>
      </w:pPr>
      <w:rPr>
        <w:rFonts w:hint="eastAsia"/>
      </w:rPr>
    </w:lvl>
  </w:abstractNum>
  <w:abstractNum w:abstractNumId="3">
    <w:nsid w:val="3DBCA515"/>
    <w:multiLevelType w:val="singleLevel"/>
    <w:tmpl w:val="3DBCA515"/>
    <w:lvl w:ilvl="0" w:tentative="0">
      <w:start w:val="1"/>
      <w:numFmt w:val="chineseCounting"/>
      <w:suff w:val="nothing"/>
      <w:lvlText w:val="%1、"/>
      <w:lvlJc w:val="left"/>
      <w:rPr>
        <w:rFonts w:hint="eastAsia"/>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FhYmYyMDVmODQ2MTc2YTQyZTE3ZDE5ODU1MmU1ZTIifQ=="/>
  </w:docVars>
  <w:rsids>
    <w:rsidRoot w:val="00000000"/>
    <w:rsid w:val="012604E4"/>
    <w:rsid w:val="01DA5C6C"/>
    <w:rsid w:val="08251EAA"/>
    <w:rsid w:val="08E1392A"/>
    <w:rsid w:val="0D373C46"/>
    <w:rsid w:val="165C41FE"/>
    <w:rsid w:val="22035426"/>
    <w:rsid w:val="25A03144"/>
    <w:rsid w:val="305E74FA"/>
    <w:rsid w:val="308B46F0"/>
    <w:rsid w:val="38BF4BE6"/>
    <w:rsid w:val="40992462"/>
    <w:rsid w:val="4D2E66D8"/>
    <w:rsid w:val="636B1FDC"/>
    <w:rsid w:val="67184229"/>
    <w:rsid w:val="6884728A"/>
    <w:rsid w:val="6CE16E6B"/>
    <w:rsid w:val="6FA431BE"/>
    <w:rsid w:val="7A925F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6">
    <w:name w:val="正文正"/>
    <w:basedOn w:val="7"/>
    <w:qFormat/>
    <w:uiPriority w:val="0"/>
    <w:pPr>
      <w:spacing w:line="560" w:lineRule="exact"/>
      <w:ind w:firstLine="561"/>
    </w:pPr>
    <w:rPr>
      <w:rFonts w:ascii="Calibri" w:hAnsi="Calibri"/>
      <w:sz w:val="28"/>
      <w:szCs w:val="24"/>
    </w:rPr>
  </w:style>
  <w:style w:type="paragraph" w:customStyle="1" w:styleId="7">
    <w:name w:val="正文 New New New New New New New"/>
    <w:next w:val="8"/>
    <w:qFormat/>
    <w:uiPriority w:val="0"/>
    <w:pPr>
      <w:widowControl w:val="0"/>
      <w:autoSpaceDE w:val="0"/>
      <w:autoSpaceDN w:val="0"/>
      <w:adjustRightInd w:val="0"/>
    </w:pPr>
    <w:rPr>
      <w:rFonts w:ascii="宋体" w:hAnsi="Times New Roman" w:eastAsia="宋体" w:cs="Times New Roman"/>
      <w:sz w:val="24"/>
      <w:szCs w:val="24"/>
      <w:lang w:val="en-US" w:eastAsia="zh-CN" w:bidi="ar-SA"/>
    </w:rPr>
  </w:style>
  <w:style w:type="paragraph" w:customStyle="1" w:styleId="8">
    <w:name w:val="正文文本 New"/>
    <w:basedOn w:val="9"/>
    <w:qFormat/>
    <w:uiPriority w:val="0"/>
    <w:pPr>
      <w:widowControl w:val="0"/>
      <w:spacing w:line="360" w:lineRule="auto"/>
      <w:ind w:firstLine="0" w:firstLineChars="0"/>
      <w:jc w:val="both"/>
    </w:pPr>
    <w:rPr>
      <w:rFonts w:ascii="_x000B__x000C_" w:hAnsi="_x000B__x000C_" w:eastAsia="宋体" w:cs="Times New Roman"/>
      <w:kern w:val="2"/>
      <w:sz w:val="24"/>
      <w:szCs w:val="20"/>
      <w:lang w:val="en-US" w:eastAsia="zh-CN" w:bidi="ar-SA"/>
    </w:rPr>
  </w:style>
  <w:style w:type="paragraph" w:customStyle="1" w:styleId="9">
    <w:name w:val="正文 New New New New"/>
    <w:next w:val="8"/>
    <w:qFormat/>
    <w:uiPriority w:val="0"/>
    <w:pPr>
      <w:widowControl w:val="0"/>
      <w:adjustRightInd w:val="0"/>
      <w:spacing w:before="60" w:after="60" w:line="360" w:lineRule="auto"/>
      <w:ind w:firstLine="200" w:firstLineChars="200"/>
      <w:jc w:val="both"/>
      <w:textAlignment w:val="baseline"/>
    </w:pPr>
    <w:rPr>
      <w:rFonts w:ascii="Times New Roman" w:hAnsi="Times New Roman" w:eastAsia="宋体" w:cs="Times New Roman"/>
      <w:sz w:val="21"/>
      <w:lang w:val="en-US" w:eastAsia="zh-CN" w:bidi="ar-SA"/>
    </w:rPr>
  </w:style>
  <w:style w:type="paragraph" w:customStyle="1" w:styleId="10">
    <w:name w:val="UserStyle_43"/>
    <w:basedOn w:val="11"/>
    <w:qFormat/>
    <w:uiPriority w:val="0"/>
    <w:rPr>
      <w:rFonts w:ascii="宋体" w:hAnsi="Courier New"/>
      <w:szCs w:val="21"/>
    </w:rPr>
  </w:style>
  <w:style w:type="paragraph" w:customStyle="1" w:styleId="11">
    <w:name w:val="UserStyle_30"/>
    <w:next w:val="12"/>
    <w:qFormat/>
    <w:uiPriority w:val="0"/>
    <w:pPr>
      <w:jc w:val="both"/>
      <w:textAlignment w:val="baseline"/>
    </w:pPr>
    <w:rPr>
      <w:rFonts w:ascii="Times New Roman" w:hAnsi="Times New Roman" w:eastAsia="宋体" w:cs="Times New Roman"/>
      <w:kern w:val="2"/>
      <w:sz w:val="21"/>
      <w:szCs w:val="24"/>
      <w:lang w:val="en-US" w:eastAsia="zh-CN" w:bidi="ar-SA"/>
    </w:rPr>
  </w:style>
  <w:style w:type="paragraph" w:customStyle="1" w:styleId="12">
    <w:name w:val="UserStyle_20"/>
    <w:basedOn w:val="13"/>
    <w:qFormat/>
    <w:uiPriority w:val="0"/>
    <w:pPr>
      <w:spacing w:line="560" w:lineRule="exact"/>
      <w:ind w:firstLine="561"/>
    </w:pPr>
    <w:rPr>
      <w:rFonts w:eastAsia="仿宋_GB2312"/>
      <w:sz w:val="28"/>
    </w:rPr>
  </w:style>
  <w:style w:type="paragraph" w:customStyle="1" w:styleId="13">
    <w:name w:val="UserStyle_24"/>
    <w:next w:val="12"/>
    <w:qFormat/>
    <w:uiPriority w:val="0"/>
    <w:pPr>
      <w:jc w:val="both"/>
      <w:textAlignment w:val="baseline"/>
    </w:pPr>
    <w:rPr>
      <w:rFonts w:ascii="Times New Roman" w:hAnsi="Times New Roman" w:eastAsia="宋体" w:cs="Times New Roman"/>
      <w:kern w:val="2"/>
      <w:sz w:val="21"/>
      <w:szCs w:val="24"/>
      <w:lang w:val="en-US" w:eastAsia="zh-CN" w:bidi="ar-SA"/>
    </w:rPr>
  </w:style>
  <w:style w:type="character" w:customStyle="1" w:styleId="14">
    <w:name w:val="NormalCharacter"/>
    <w:qFormat/>
    <w:uiPriority w:val="0"/>
  </w:style>
  <w:style w:type="paragraph" w:customStyle="1" w:styleId="15">
    <w:name w:val="179"/>
    <w:basedOn w:val="11"/>
    <w:qFormat/>
    <w:uiPriority w:val="0"/>
    <w:pPr>
      <w:ind w:firstLine="420" w:firstLineChars="200"/>
    </w:pPr>
    <w:rPr>
      <w:rFonts w:ascii="Calibri" w:hAnsi="Calibri"/>
      <w:szCs w:val="22"/>
    </w:rPr>
  </w:style>
  <w:style w:type="paragraph" w:customStyle="1" w:styleId="16">
    <w:name w:val="Table Text"/>
    <w:basedOn w:val="1"/>
    <w:semiHidden/>
    <w:qFormat/>
    <w:uiPriority w:val="0"/>
    <w:rPr>
      <w:rFonts w:ascii="宋体" w:hAnsi="宋体" w:eastAsia="宋体" w:cs="宋体"/>
      <w:sz w:val="24"/>
      <w:szCs w:val="24"/>
      <w:lang w:val="en-US" w:eastAsia="en-US" w:bidi="ar-SA"/>
    </w:rPr>
  </w:style>
  <w:style w:type="paragraph" w:customStyle="1" w:styleId="17">
    <w:name w:val="Plain Text"/>
    <w:basedOn w:val="1"/>
    <w:qFormat/>
    <w:uiPriority w:val="0"/>
    <w:rPr>
      <w:rFonts w:ascii="宋体" w:hAnsi="Courier New"/>
      <w:kern w:val="0"/>
      <w:sz w:val="20"/>
      <w:szCs w:val="21"/>
    </w:rPr>
  </w:style>
  <w:style w:type="character" w:customStyle="1" w:styleId="18">
    <w:name w:val="font11"/>
    <w:basedOn w:val="5"/>
    <w:qFormat/>
    <w:uiPriority w:val="0"/>
    <w:rPr>
      <w:rFonts w:hint="eastAsia" w:ascii="宋体" w:hAnsi="宋体" w:eastAsia="宋体" w:cs="宋体"/>
      <w:b/>
      <w:bCs/>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3699</Words>
  <Characters>4099</Characters>
  <Lines>0</Lines>
  <Paragraphs>0</Paragraphs>
  <TotalTime>26</TotalTime>
  <ScaleCrop>false</ScaleCrop>
  <LinksUpToDate>false</LinksUpToDate>
  <CharactersWithSpaces>4214</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2025-09-15T10:05:00Z</dcterms:created>
  <dc:creator>123</dc:creator>
  <cp:lastModifiedBy>王俊</cp:lastModifiedBy>
  <dcterms:modified xsi:type="dcterms:W3CDTF">2026-03-17T04:01:15Z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BCCA7EA7B0534042A7A401879EC817F2_12</vt:lpwstr>
  </property>
  <property fmtid="{D5CDD505-2E9C-101B-9397-08002B2CF9AE}" pid="4" name="KSOTemplateDocerSaveRecord">
    <vt:lpwstr>eyJoZGlkIjoiY2UzMThjN2NiN2Q2ZDRlYjljODk5MGI2YzY0ZTBhYzIiLCJ1c2VySWQiOiIxNDU1MTg5NTMxIn0=</vt:lpwstr>
  </property>
</Properties>
</file>