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bCs/>
          <w:color w:val="auto"/>
          <w:sz w:val="32"/>
          <w:szCs w:val="32"/>
          <w:lang w:val="en-US" w:eastAsia="zh-CN"/>
        </w:rPr>
      </w:pPr>
      <w:r>
        <w:rPr>
          <w:rFonts w:hint="eastAsia"/>
          <w:b/>
          <w:bCs/>
          <w:color w:val="auto"/>
          <w:sz w:val="32"/>
          <w:szCs w:val="32"/>
          <w:lang w:val="en-US" w:eastAsia="zh-CN"/>
        </w:rPr>
        <w:t>始兴县2023年市政排水设施运维</w:t>
      </w:r>
    </w:p>
    <w:p>
      <w:pPr>
        <w:spacing w:line="240" w:lineRule="auto"/>
        <w:jc w:val="center"/>
        <w:rPr>
          <w:rFonts w:hint="default"/>
          <w:b/>
          <w:bCs/>
          <w:color w:val="auto"/>
          <w:sz w:val="32"/>
          <w:szCs w:val="32"/>
          <w:lang w:val="en-US" w:eastAsia="zh-CN"/>
        </w:rPr>
      </w:pPr>
      <w:r>
        <w:rPr>
          <w:rFonts w:hint="eastAsia"/>
          <w:b/>
          <w:bCs/>
          <w:color w:val="auto"/>
          <w:sz w:val="32"/>
          <w:szCs w:val="32"/>
          <w:lang w:val="en-US" w:eastAsia="zh-CN"/>
        </w:rPr>
        <w:t>采购需求</w:t>
      </w:r>
      <w:bookmarkStart w:id="1" w:name="_GoBack"/>
      <w:bookmarkEnd w:id="1"/>
    </w:p>
    <w:p>
      <w:pPr>
        <w:numPr>
          <w:ilvl w:val="0"/>
          <w:numId w:val="0"/>
        </w:numPr>
        <w:spacing w:line="240" w:lineRule="auto"/>
        <w:rPr>
          <w:rFonts w:hint="eastAsia" w:ascii="宋体" w:hAnsi="宋体" w:eastAsia="宋体" w:cs="宋体"/>
          <w:b w:val="0"/>
          <w:bCs w:val="0"/>
          <w:color w:val="auto"/>
          <w:sz w:val="21"/>
          <w:szCs w:val="21"/>
          <w:lang w:val="en-US" w:eastAsia="zh-CN"/>
        </w:rPr>
      </w:pPr>
    </w:p>
    <w:p>
      <w:pPr>
        <w:numPr>
          <w:ilvl w:val="0"/>
          <w:numId w:val="0"/>
        </w:numPr>
        <w:spacing w:line="240" w:lineRule="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kern w:val="2"/>
          <w:sz w:val="21"/>
          <w:szCs w:val="21"/>
          <w:vertAlign w:val="baseline"/>
          <w:lang w:val="en-US" w:eastAsia="zh-CN" w:bidi="ar-SA"/>
        </w:rPr>
        <w:t>一、</w:t>
      </w:r>
      <w:r>
        <w:rPr>
          <w:rFonts w:hint="eastAsia" w:ascii="宋体" w:hAnsi="宋体" w:eastAsia="宋体" w:cs="宋体"/>
          <w:b/>
          <w:bCs/>
          <w:color w:val="auto"/>
          <w:sz w:val="21"/>
          <w:szCs w:val="21"/>
          <w:lang w:val="en-US" w:eastAsia="zh-CN"/>
        </w:rPr>
        <w:t>采购项目技术规格、参数及其他要求</w:t>
      </w:r>
    </w:p>
    <w:p>
      <w:pPr>
        <w:pStyle w:val="6"/>
        <w:numPr>
          <w:ilvl w:val="0"/>
          <w:numId w:val="0"/>
        </w:numPr>
        <w:spacing w:line="240" w:lineRule="auto"/>
        <w:ind w:leftChars="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1、采购需求一览表</w:t>
      </w:r>
    </w:p>
    <w:tbl>
      <w:tblPr>
        <w:tblStyle w:val="7"/>
        <w:tblW w:w="4998" w:type="pct"/>
        <w:jc w:val="center"/>
        <w:tblLayout w:type="autofit"/>
        <w:tblCellMar>
          <w:top w:w="0" w:type="dxa"/>
          <w:left w:w="0" w:type="dxa"/>
          <w:bottom w:w="0" w:type="dxa"/>
          <w:right w:w="0" w:type="dxa"/>
        </w:tblCellMar>
      </w:tblPr>
      <w:tblGrid>
        <w:gridCol w:w="665"/>
        <w:gridCol w:w="2054"/>
        <w:gridCol w:w="622"/>
        <w:gridCol w:w="1390"/>
        <w:gridCol w:w="1801"/>
        <w:gridCol w:w="1801"/>
      </w:tblGrid>
      <w:tr>
        <w:tblPrEx>
          <w:tblCellMar>
            <w:top w:w="0" w:type="dxa"/>
            <w:left w:w="0" w:type="dxa"/>
            <w:bottom w:w="0" w:type="dxa"/>
            <w:right w:w="0" w:type="dxa"/>
          </w:tblCellMar>
        </w:tblPrEx>
        <w:trPr>
          <w:trHeight w:val="418"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序号</w:t>
            </w:r>
          </w:p>
        </w:tc>
        <w:tc>
          <w:tcPr>
            <w:tcW w:w="12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采购内容</w:t>
            </w:r>
          </w:p>
        </w:tc>
        <w:tc>
          <w:tcPr>
            <w:tcW w:w="3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数量</w:t>
            </w:r>
          </w:p>
        </w:tc>
        <w:tc>
          <w:tcPr>
            <w:tcW w:w="83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服务要求</w:t>
            </w:r>
          </w:p>
        </w:tc>
        <w:tc>
          <w:tcPr>
            <w:tcW w:w="10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服务期</w:t>
            </w:r>
          </w:p>
        </w:tc>
        <w:tc>
          <w:tcPr>
            <w:tcW w:w="10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预算金额（元）</w:t>
            </w:r>
          </w:p>
        </w:tc>
      </w:tr>
      <w:tr>
        <w:tblPrEx>
          <w:tblCellMar>
            <w:top w:w="0" w:type="dxa"/>
            <w:left w:w="0" w:type="dxa"/>
            <w:bottom w:w="0" w:type="dxa"/>
            <w:right w:w="0" w:type="dxa"/>
          </w:tblCellMar>
        </w:tblPrEx>
        <w:trPr>
          <w:trHeight w:val="270"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1</w:t>
            </w:r>
          </w:p>
        </w:tc>
        <w:tc>
          <w:tcPr>
            <w:tcW w:w="12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始兴县2023年市政排水设施运维</w:t>
            </w:r>
          </w:p>
        </w:tc>
        <w:tc>
          <w:tcPr>
            <w:tcW w:w="3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1项</w:t>
            </w:r>
          </w:p>
        </w:tc>
        <w:tc>
          <w:tcPr>
            <w:tcW w:w="83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详见</w:t>
            </w:r>
            <w:r>
              <w:rPr>
                <w:rFonts w:hint="eastAsia" w:ascii="宋体" w:hAnsi="宋体" w:eastAsia="宋体" w:cs="宋体"/>
                <w:b w:val="0"/>
                <w:bCs w:val="0"/>
                <w:color w:val="auto"/>
                <w:sz w:val="21"/>
                <w:szCs w:val="21"/>
                <w:lang w:val="en-US" w:eastAsia="zh-CN"/>
              </w:rPr>
              <w:t>本项目服务要求</w:t>
            </w:r>
          </w:p>
        </w:tc>
        <w:tc>
          <w:tcPr>
            <w:tcW w:w="10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2023年10月至2024年10月</w:t>
            </w:r>
          </w:p>
        </w:tc>
        <w:tc>
          <w:tcPr>
            <w:tcW w:w="10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color w:val="auto"/>
                <w:sz w:val="21"/>
                <w:szCs w:val="21"/>
                <w:lang w:val="en-US" w:eastAsia="zh-CN"/>
              </w:rPr>
              <w:t>¥468,047.46</w:t>
            </w:r>
          </w:p>
        </w:tc>
      </w:tr>
    </w:tbl>
    <w:p>
      <w:pPr>
        <w:spacing w:line="360" w:lineRule="auto"/>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注：1.投标报价按总价报价，不得超出预算金额。</w:t>
      </w:r>
    </w:p>
    <w:p>
      <w:pPr>
        <w:spacing w:line="360" w:lineRule="auto"/>
        <w:ind w:firstLine="420" w:firstLineChars="200"/>
        <w:jc w:val="both"/>
        <w:rPr>
          <w:rFonts w:hint="eastAsia" w:ascii="宋体" w:hAnsi="宋体" w:eastAsia="宋体" w:cs="宋体"/>
          <w:sz w:val="21"/>
          <w:szCs w:val="21"/>
          <w:lang w:val="en-US" w:eastAsia="zh-CN"/>
        </w:rPr>
      </w:pPr>
      <w:r>
        <w:rPr>
          <w:rFonts w:hint="eastAsia" w:ascii="宋体" w:hAnsi="宋体" w:eastAsia="宋体" w:cs="宋体"/>
          <w:b w:val="0"/>
          <w:bCs w:val="0"/>
          <w:color w:val="auto"/>
          <w:sz w:val="21"/>
          <w:szCs w:val="21"/>
          <w:lang w:val="en-US" w:eastAsia="zh-CN"/>
        </w:rPr>
        <w:t>2.本项目为包工、包料、包机械设备、包质量、包安全文明施工、包管道封堵及拆封、包抽排水、包税费，包保险（含人员社保、第三方责任险、意外伤害险），包现场清理、淤泥及施工垃圾清运，包管道封堵及污水导流方案的报批等向政府部门（或项目属地、社区、行业主管部门）申请办理各类申报、许可手续，包基础资料收集、现场勘探等费用，包招标代理服务费等全部费用。</w:t>
      </w:r>
    </w:p>
    <w:p>
      <w:pPr>
        <w:pStyle w:val="2"/>
        <w:ind w:left="0" w:leftChars="0" w:firstLine="0" w:firstLineChars="0"/>
        <w:rPr>
          <w:rFonts w:hint="eastAsia" w:ascii="宋体" w:hAnsi="宋体" w:eastAsia="宋体" w:cs="宋体"/>
          <w:b/>
          <w:bCs/>
          <w:sz w:val="21"/>
          <w:szCs w:val="21"/>
          <w:lang w:val="en-US" w:eastAsia="zh-CN"/>
        </w:rPr>
      </w:pPr>
      <w:r>
        <w:rPr>
          <w:rFonts w:hint="eastAsia" w:ascii="宋体" w:hAnsi="宋体" w:eastAsia="宋体" w:cs="宋体"/>
          <w:b/>
          <w:bCs/>
          <w:color w:val="auto"/>
          <w:sz w:val="21"/>
          <w:szCs w:val="21"/>
          <w:lang w:val="en-US" w:eastAsia="zh-CN"/>
        </w:rPr>
        <w:t>2.服务范围及具体内容</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05"/>
        <w:gridCol w:w="1350"/>
        <w:gridCol w:w="3763"/>
        <w:gridCol w:w="750"/>
        <w:gridCol w:w="914"/>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303" w:type="pct"/>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序号</w:t>
            </w:r>
          </w:p>
        </w:tc>
        <w:tc>
          <w:tcPr>
            <w:tcW w:w="810" w:type="pct"/>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服务范围</w:t>
            </w:r>
          </w:p>
        </w:tc>
        <w:tc>
          <w:tcPr>
            <w:tcW w:w="2257" w:type="pct"/>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具体内容</w:t>
            </w:r>
          </w:p>
        </w:tc>
        <w:tc>
          <w:tcPr>
            <w:tcW w:w="450" w:type="pct"/>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kern w:val="2"/>
                <w:sz w:val="21"/>
                <w:szCs w:val="21"/>
                <w:u w:val="none"/>
                <w:lang w:val="en-US" w:eastAsia="zh-CN" w:bidi="ar-SA"/>
              </w:rPr>
              <w:t>数量</w:t>
            </w:r>
          </w:p>
        </w:tc>
        <w:tc>
          <w:tcPr>
            <w:tcW w:w="548" w:type="pct"/>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kern w:val="2"/>
                <w:sz w:val="21"/>
                <w:szCs w:val="21"/>
                <w:u w:val="none"/>
                <w:lang w:val="en-US" w:eastAsia="zh-CN" w:bidi="ar-SA"/>
              </w:rPr>
              <w:t>单位</w:t>
            </w:r>
          </w:p>
        </w:tc>
        <w:tc>
          <w:tcPr>
            <w:tcW w:w="630" w:type="pct"/>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kern w:val="2"/>
                <w:sz w:val="21"/>
                <w:szCs w:val="21"/>
                <w:u w:val="none"/>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34" w:hRule="atLeast"/>
          <w:jc w:val="center"/>
        </w:trPr>
        <w:tc>
          <w:tcPr>
            <w:tcW w:w="303" w:type="pct"/>
            <w:vMerge w:val="restar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1</w:t>
            </w:r>
          </w:p>
        </w:tc>
        <w:tc>
          <w:tcPr>
            <w:tcW w:w="810" w:type="pct"/>
            <w:vMerge w:val="restar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墨江市场周边</w:t>
            </w:r>
          </w:p>
        </w:tc>
        <w:tc>
          <w:tcPr>
            <w:tcW w:w="2257" w:type="pct"/>
            <w:shd w:val="clear" w:color="auto" w:fill="FFFFFF"/>
            <w:noWrap w:val="0"/>
            <w:tcMar>
              <w:top w:w="15" w:type="dxa"/>
              <w:left w:w="15" w:type="dxa"/>
              <w:right w:w="15" w:type="dxa"/>
            </w:tcMar>
            <w:vAlign w:val="center"/>
          </w:tcPr>
          <w:p>
            <w:pPr>
              <w:spacing w:line="240" w:lineRule="auto"/>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清检查井</w:t>
            </w:r>
          </w:p>
          <w:p>
            <w:pPr>
              <w:spacing w:line="240" w:lineRule="auto"/>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积泥深度45cm内</w:t>
            </w:r>
          </w:p>
          <w:p>
            <w:pPr>
              <w:spacing w:line="240" w:lineRule="auto"/>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1.人工清理:雨水井（直径75cm，积泥厚35cm）</w:t>
            </w:r>
          </w:p>
          <w:p>
            <w:pPr>
              <w:spacing w:line="240" w:lineRule="auto"/>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2.人工装自卸汽车</w:t>
            </w:r>
          </w:p>
          <w:p>
            <w:pPr>
              <w:spacing w:line="240" w:lineRule="auto"/>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3.运距:3km</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24</w:t>
            </w:r>
          </w:p>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座</w:t>
            </w:r>
          </w:p>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8" w:hRule="atLeast"/>
          <w:jc w:val="center"/>
        </w:trPr>
        <w:tc>
          <w:tcPr>
            <w:tcW w:w="303" w:type="pct"/>
            <w:vMerge w:val="continue"/>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p>
        </w:tc>
        <w:tc>
          <w:tcPr>
            <w:tcW w:w="810" w:type="pct"/>
            <w:vMerge w:val="continue"/>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c>
          <w:tcPr>
            <w:tcW w:w="2257" w:type="pct"/>
            <w:shd w:val="clear" w:color="auto" w:fill="FFFFFF"/>
            <w:noWrap w:val="0"/>
            <w:tcMar>
              <w:top w:w="15" w:type="dxa"/>
              <w:left w:w="15" w:type="dxa"/>
              <w:right w:w="15" w:type="dxa"/>
            </w:tcMar>
            <w:vAlign w:val="center"/>
          </w:tcPr>
          <w:p>
            <w:pPr>
              <w:spacing w:line="240" w:lineRule="auto"/>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混凝土管</w:t>
            </w:r>
          </w:p>
          <w:p>
            <w:pPr>
              <w:numPr>
                <w:ilvl w:val="0"/>
                <w:numId w:val="0"/>
              </w:numPr>
              <w:spacing w:line="240" w:lineRule="auto"/>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lang w:val="en-US" w:eastAsia="zh-CN" w:bidi="ar-SA"/>
              </w:rPr>
              <w:t>1.</w:t>
            </w:r>
            <w:r>
              <w:rPr>
                <w:rFonts w:hint="eastAsia" w:ascii="宋体" w:hAnsi="宋体" w:eastAsia="宋体" w:cs="宋体"/>
                <w:b w:val="0"/>
                <w:bCs w:val="0"/>
                <w:i w:val="0"/>
                <w:color w:val="auto"/>
                <w:kern w:val="2"/>
                <w:sz w:val="21"/>
                <w:szCs w:val="21"/>
                <w:u w:val="none"/>
                <w:lang w:val="en-US" w:eastAsia="zh-CN" w:bidi="ar-SA"/>
              </w:rPr>
              <w:t>水力冲洗管道</w:t>
            </w:r>
          </w:p>
          <w:p>
            <w:pPr>
              <w:numPr>
                <w:ilvl w:val="0"/>
                <w:numId w:val="0"/>
              </w:numPr>
              <w:spacing w:line="240" w:lineRule="auto"/>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管径300mm内积泥全封管</w:t>
            </w:r>
          </w:p>
          <w:p>
            <w:pPr>
              <w:spacing w:line="240" w:lineRule="auto"/>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2.人工装自卸汽车</w:t>
            </w:r>
          </w:p>
          <w:p>
            <w:pPr>
              <w:spacing w:line="240" w:lineRule="auto"/>
              <w:jc w:val="left"/>
              <w:rPr>
                <w:rFonts w:hint="eastAsia" w:ascii="宋体" w:hAnsi="宋体" w:eastAsia="宋体" w:cs="宋体"/>
                <w:sz w:val="21"/>
                <w:szCs w:val="21"/>
                <w:lang w:val="en-US" w:eastAsia="zh-CN"/>
              </w:rPr>
            </w:pPr>
            <w:r>
              <w:rPr>
                <w:rFonts w:hint="eastAsia" w:ascii="宋体" w:hAnsi="宋体" w:eastAsia="宋体" w:cs="宋体"/>
                <w:b w:val="0"/>
                <w:bCs w:val="0"/>
                <w:i w:val="0"/>
                <w:color w:val="auto"/>
                <w:kern w:val="2"/>
                <w:sz w:val="21"/>
                <w:szCs w:val="21"/>
                <w:u w:val="none"/>
                <w:lang w:val="en-US" w:eastAsia="zh-CN" w:bidi="ar-SA"/>
              </w:rPr>
              <w:t>3.运距:3km</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300</w:t>
            </w:r>
          </w:p>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w:t>
            </w:r>
          </w:p>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303"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2</w:t>
            </w:r>
          </w:p>
        </w:tc>
        <w:tc>
          <w:tcPr>
            <w:tcW w:w="81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迎宾大道水沟人工清淤</w:t>
            </w:r>
          </w:p>
        </w:tc>
        <w:tc>
          <w:tcPr>
            <w:tcW w:w="2257" w:type="pct"/>
            <w:shd w:val="clear" w:color="auto" w:fill="FFFFFF"/>
            <w:noWrap w:val="0"/>
            <w:tcMar>
              <w:top w:w="15" w:type="dxa"/>
              <w:left w:w="15" w:type="dxa"/>
              <w:right w:w="15" w:type="dxa"/>
            </w:tcMar>
            <w:vAlign w:val="center"/>
          </w:tcPr>
          <w:p>
            <w:pPr>
              <w:spacing w:line="240" w:lineRule="auto"/>
              <w:jc w:val="both"/>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清明涌 自然底</w:t>
            </w:r>
          </w:p>
          <w:p>
            <w:pPr>
              <w:spacing w:line="240" w:lineRule="auto"/>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1.水沟清淤人工</w:t>
            </w:r>
          </w:p>
          <w:p>
            <w:pPr>
              <w:spacing w:line="240" w:lineRule="auto"/>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2.人工装自卸汽车</w:t>
            </w:r>
          </w:p>
          <w:p>
            <w:pPr>
              <w:spacing w:line="240" w:lineRule="auto"/>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3.运距:3km</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367.5</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m3</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0" w:hRule="atLeast"/>
          <w:jc w:val="center"/>
        </w:trPr>
        <w:tc>
          <w:tcPr>
            <w:tcW w:w="303" w:type="pct"/>
            <w:vMerge w:val="restar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3</w:t>
            </w:r>
          </w:p>
        </w:tc>
        <w:tc>
          <w:tcPr>
            <w:tcW w:w="810" w:type="pct"/>
            <w:vMerge w:val="restar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站前路山体滑坡</w:t>
            </w:r>
          </w:p>
        </w:tc>
        <w:tc>
          <w:tcPr>
            <w:tcW w:w="2257" w:type="pct"/>
            <w:shd w:val="clear" w:color="auto" w:fill="FFFFFF"/>
            <w:noWrap w:val="0"/>
            <w:tcMar>
              <w:top w:w="15" w:type="dxa"/>
              <w:left w:w="15" w:type="dxa"/>
              <w:right w:w="15" w:type="dxa"/>
            </w:tcMar>
            <w:vAlign w:val="center"/>
          </w:tcPr>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挖淤泥、流砂</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1.内容:人工配合机械挖装人行道淤泥 </w:t>
            </w:r>
          </w:p>
          <w:p>
            <w:pPr>
              <w:keepNext w:val="0"/>
              <w:keepLines w:val="0"/>
              <w:widowControl/>
              <w:suppressLineNumbers w:val="0"/>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color w:val="000000"/>
                <w:kern w:val="0"/>
                <w:sz w:val="21"/>
                <w:szCs w:val="21"/>
                <w:lang w:val="en-US" w:eastAsia="zh-CN" w:bidi="ar"/>
              </w:rPr>
              <w:t>2.挖掘深度:2m以内</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300</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m3</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303" w:type="pct"/>
            <w:vMerge w:val="continue"/>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p>
        </w:tc>
        <w:tc>
          <w:tcPr>
            <w:tcW w:w="810" w:type="pct"/>
            <w:vMerge w:val="continue"/>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c>
          <w:tcPr>
            <w:tcW w:w="2257" w:type="pct"/>
            <w:shd w:val="clear" w:color="auto" w:fill="FFFFFF"/>
            <w:noWrap w:val="0"/>
            <w:tcMar>
              <w:top w:w="15" w:type="dxa"/>
              <w:left w:w="15" w:type="dxa"/>
              <w:right w:w="15" w:type="dxa"/>
            </w:tcMar>
            <w:vAlign w:val="center"/>
          </w:tcPr>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余方弃置</w:t>
            </w:r>
          </w:p>
          <w:p>
            <w:pPr>
              <w:keepNext w:val="0"/>
              <w:keepLines w:val="0"/>
              <w:widowControl/>
              <w:numPr>
                <w:ilvl w:val="0"/>
                <w:numId w:val="0"/>
              </w:numPr>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1.自卸汽车运淤泥、流砂 </w:t>
            </w:r>
          </w:p>
          <w:p>
            <w:pPr>
              <w:keepNext w:val="0"/>
              <w:keepLines w:val="0"/>
              <w:widowControl/>
              <w:numPr>
                <w:ilvl w:val="0"/>
                <w:numId w:val="0"/>
              </w:numPr>
              <w:suppressLineNumbers w:val="0"/>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lang w:val="en-US" w:eastAsia="zh-CN" w:bidi="ar-SA"/>
              </w:rPr>
              <w:t>2.</w:t>
            </w:r>
            <w:r>
              <w:rPr>
                <w:rFonts w:hint="eastAsia" w:ascii="宋体" w:hAnsi="宋体" w:eastAsia="宋体" w:cs="宋体"/>
                <w:color w:val="000000"/>
                <w:kern w:val="0"/>
                <w:sz w:val="21"/>
                <w:szCs w:val="21"/>
                <w:lang w:val="en-US" w:eastAsia="zh-CN" w:bidi="ar"/>
              </w:rPr>
              <w:t xml:space="preserve">运距1km内 </w:t>
            </w:r>
          </w:p>
          <w:p>
            <w:pPr>
              <w:keepNext w:val="0"/>
              <w:keepLines w:val="0"/>
              <w:widowControl/>
              <w:numPr>
                <w:ilvl w:val="0"/>
                <w:numId w:val="0"/>
              </w:numPr>
              <w:suppressLineNumbers w:val="0"/>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lang w:val="en-US" w:eastAsia="zh-CN" w:bidi="ar-SA"/>
              </w:rPr>
              <w:t>3.</w:t>
            </w:r>
            <w:r>
              <w:rPr>
                <w:rFonts w:hint="eastAsia" w:ascii="宋体" w:hAnsi="宋体" w:eastAsia="宋体" w:cs="宋体"/>
                <w:color w:val="000000"/>
                <w:kern w:val="0"/>
                <w:sz w:val="21"/>
                <w:szCs w:val="21"/>
                <w:lang w:val="en-US" w:eastAsia="zh-CN" w:bidi="ar"/>
              </w:rPr>
              <w:t>实际运距(km):3</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300</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m3</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303"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4</w:t>
            </w:r>
          </w:p>
        </w:tc>
        <w:tc>
          <w:tcPr>
            <w:tcW w:w="81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城东路水沟人工清淤</w:t>
            </w:r>
          </w:p>
        </w:tc>
        <w:tc>
          <w:tcPr>
            <w:tcW w:w="2257" w:type="pct"/>
            <w:shd w:val="clear" w:color="auto" w:fill="FFFFFF"/>
            <w:noWrap w:val="0"/>
            <w:tcMar>
              <w:top w:w="15" w:type="dxa"/>
              <w:left w:w="15" w:type="dxa"/>
              <w:right w:w="15" w:type="dxa"/>
            </w:tcMar>
            <w:vAlign w:val="center"/>
          </w:tcPr>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清明涌 自然底</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1.水沟清淤人工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2.人工装自卸汽车 </w:t>
            </w:r>
          </w:p>
          <w:p>
            <w:pPr>
              <w:keepNext w:val="0"/>
              <w:keepLines w:val="0"/>
              <w:widowControl/>
              <w:suppressLineNumbers w:val="0"/>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color w:val="000000"/>
                <w:kern w:val="0"/>
                <w:sz w:val="21"/>
                <w:szCs w:val="21"/>
                <w:lang w:val="en-US" w:eastAsia="zh-CN" w:bidi="ar"/>
              </w:rPr>
              <w:t>3.运距:3km</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385</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m3</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303"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5</w:t>
            </w:r>
          </w:p>
        </w:tc>
        <w:tc>
          <w:tcPr>
            <w:tcW w:w="81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永安大道水沟人工清淤</w:t>
            </w:r>
          </w:p>
        </w:tc>
        <w:tc>
          <w:tcPr>
            <w:tcW w:w="2257" w:type="pct"/>
            <w:shd w:val="clear" w:color="auto" w:fill="FFFFFF"/>
            <w:noWrap w:val="0"/>
            <w:tcMar>
              <w:top w:w="15" w:type="dxa"/>
              <w:left w:w="15" w:type="dxa"/>
              <w:right w:w="15" w:type="dxa"/>
            </w:tcMar>
            <w:vAlign w:val="center"/>
          </w:tcPr>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清明涌 自然底</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1.水沟清淤人工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2.人工装自卸汽车 </w:t>
            </w:r>
          </w:p>
          <w:p>
            <w:pPr>
              <w:keepNext w:val="0"/>
              <w:keepLines w:val="0"/>
              <w:widowControl/>
              <w:suppressLineNumbers w:val="0"/>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color w:val="000000"/>
                <w:kern w:val="0"/>
                <w:sz w:val="21"/>
                <w:szCs w:val="21"/>
                <w:lang w:val="en-US" w:eastAsia="zh-CN" w:bidi="ar"/>
              </w:rPr>
              <w:t>3.运距:3km</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770</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m3</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303"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6</w:t>
            </w:r>
          </w:p>
        </w:tc>
        <w:tc>
          <w:tcPr>
            <w:tcW w:w="81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红旗路</w:t>
            </w:r>
          </w:p>
        </w:tc>
        <w:tc>
          <w:tcPr>
            <w:tcW w:w="2257" w:type="pct"/>
            <w:shd w:val="clear" w:color="auto" w:fill="FFFFFF"/>
            <w:noWrap w:val="0"/>
            <w:tcMar>
              <w:top w:w="15" w:type="dxa"/>
              <w:left w:w="15" w:type="dxa"/>
              <w:right w:w="15" w:type="dxa"/>
            </w:tcMar>
            <w:vAlign w:val="center"/>
          </w:tcPr>
          <w:p>
            <w:pPr>
              <w:spacing w:line="24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清明涌 自然底</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1.水沟清淤人工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2.人工装自卸汽车 </w:t>
            </w:r>
          </w:p>
          <w:p>
            <w:pPr>
              <w:keepNext w:val="0"/>
              <w:keepLines w:val="0"/>
              <w:widowControl/>
              <w:suppressLineNumbers w:val="0"/>
              <w:jc w:val="left"/>
              <w:rPr>
                <w:rFonts w:hint="eastAsia" w:ascii="宋体" w:hAnsi="宋体" w:eastAsia="宋体" w:cs="宋体"/>
                <w:sz w:val="21"/>
                <w:szCs w:val="21"/>
                <w:lang w:val="en-US" w:eastAsia="zh-CN"/>
              </w:rPr>
            </w:pPr>
            <w:r>
              <w:rPr>
                <w:rFonts w:hint="eastAsia" w:ascii="宋体" w:hAnsi="宋体" w:eastAsia="宋体" w:cs="宋体"/>
                <w:color w:val="000000"/>
                <w:kern w:val="0"/>
                <w:sz w:val="21"/>
                <w:szCs w:val="21"/>
                <w:lang w:val="en-US" w:eastAsia="zh-CN" w:bidi="ar"/>
              </w:rPr>
              <w:t>3.运距:3km</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65</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m3</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303"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7</w:t>
            </w:r>
          </w:p>
        </w:tc>
        <w:tc>
          <w:tcPr>
            <w:tcW w:w="81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红旗东路</w:t>
            </w:r>
          </w:p>
        </w:tc>
        <w:tc>
          <w:tcPr>
            <w:tcW w:w="2257" w:type="pct"/>
            <w:shd w:val="clear" w:color="auto" w:fill="FFFFFF"/>
            <w:noWrap w:val="0"/>
            <w:tcMar>
              <w:top w:w="15" w:type="dxa"/>
              <w:left w:w="15" w:type="dxa"/>
              <w:right w:w="15" w:type="dxa"/>
            </w:tcMar>
            <w:vAlign w:val="center"/>
          </w:tcPr>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清明涌 自然底</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1.水沟清淤人工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2.人工装自卸汽车 </w:t>
            </w:r>
          </w:p>
          <w:p>
            <w:pPr>
              <w:keepNext w:val="0"/>
              <w:keepLines w:val="0"/>
              <w:widowControl/>
              <w:suppressLineNumbers w:val="0"/>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color w:val="000000"/>
                <w:kern w:val="0"/>
                <w:sz w:val="21"/>
                <w:szCs w:val="21"/>
                <w:lang w:val="en-US" w:eastAsia="zh-CN" w:bidi="ar"/>
              </w:rPr>
              <w:t>3.运距:3km</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192</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m3</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303" w:type="pct"/>
            <w:vMerge w:val="restar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8</w:t>
            </w:r>
          </w:p>
        </w:tc>
        <w:tc>
          <w:tcPr>
            <w:tcW w:w="810" w:type="pct"/>
            <w:vMerge w:val="restar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站前路</w:t>
            </w:r>
          </w:p>
        </w:tc>
        <w:tc>
          <w:tcPr>
            <w:tcW w:w="2257" w:type="pct"/>
            <w:shd w:val="clear" w:color="auto" w:fill="FFFFFF"/>
            <w:noWrap w:val="0"/>
            <w:tcMar>
              <w:top w:w="15" w:type="dxa"/>
              <w:left w:w="15" w:type="dxa"/>
              <w:right w:w="15" w:type="dxa"/>
            </w:tcMar>
            <w:vAlign w:val="center"/>
          </w:tcPr>
          <w:p>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挖淤泥、流砂</w:t>
            </w:r>
          </w:p>
          <w:p>
            <w:pPr>
              <w:keepNext w:val="0"/>
              <w:keepLines w:val="0"/>
              <w:widowControl/>
              <w:suppressLineNumbers w:val="0"/>
              <w:jc w:val="left"/>
              <w:rPr>
                <w:rFonts w:hint="eastAsia" w:ascii="宋体" w:hAnsi="宋体" w:eastAsia="宋体" w:cs="宋体"/>
                <w:sz w:val="21"/>
                <w:szCs w:val="21"/>
                <w:lang w:val="en-US" w:eastAsia="zh-CN"/>
              </w:rPr>
            </w:pPr>
            <w:r>
              <w:rPr>
                <w:rFonts w:hint="eastAsia" w:ascii="宋体" w:hAnsi="宋体" w:eastAsia="宋体" w:cs="宋体"/>
                <w:color w:val="000000"/>
                <w:kern w:val="0"/>
                <w:sz w:val="21"/>
                <w:szCs w:val="21"/>
                <w:lang w:val="en-US" w:eastAsia="zh-CN" w:bidi="ar"/>
              </w:rPr>
              <w:t>1.内容:人工配合机械清理水沟淤泥</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305</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m3</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303" w:type="pct"/>
            <w:vMerge w:val="continue"/>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p>
        </w:tc>
        <w:tc>
          <w:tcPr>
            <w:tcW w:w="810" w:type="pct"/>
            <w:vMerge w:val="continue"/>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c>
          <w:tcPr>
            <w:tcW w:w="2257" w:type="pct"/>
            <w:shd w:val="clear" w:color="auto" w:fill="FFFFFF"/>
            <w:noWrap w:val="0"/>
            <w:tcMar>
              <w:top w:w="15" w:type="dxa"/>
              <w:left w:w="15" w:type="dxa"/>
              <w:right w:w="15" w:type="dxa"/>
            </w:tcMar>
            <w:vAlign w:val="center"/>
          </w:tcPr>
          <w:p>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余方弃置</w:t>
            </w:r>
          </w:p>
          <w:p>
            <w:pPr>
              <w:keepNext w:val="0"/>
              <w:keepLines w:val="0"/>
              <w:widowControl/>
              <w:numPr>
                <w:ilvl w:val="0"/>
                <w:numId w:val="0"/>
              </w:numPr>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1.自卸汽车运淤泥、流砂 </w:t>
            </w:r>
          </w:p>
          <w:p>
            <w:pPr>
              <w:keepNext w:val="0"/>
              <w:keepLines w:val="0"/>
              <w:widowControl/>
              <w:numPr>
                <w:ilvl w:val="0"/>
                <w:numId w:val="0"/>
              </w:numPr>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2.运距1km内 </w:t>
            </w:r>
          </w:p>
          <w:p>
            <w:pPr>
              <w:keepNext w:val="0"/>
              <w:keepLines w:val="0"/>
              <w:widowControl/>
              <w:numPr>
                <w:ilvl w:val="0"/>
                <w:numId w:val="0"/>
              </w:numPr>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3.实际运距(km):3</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305</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m3</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303" w:type="pct"/>
            <w:vMerge w:val="restar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9</w:t>
            </w:r>
          </w:p>
        </w:tc>
        <w:tc>
          <w:tcPr>
            <w:tcW w:w="810" w:type="pct"/>
            <w:vMerge w:val="restar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墨江北路</w:t>
            </w:r>
          </w:p>
        </w:tc>
        <w:tc>
          <w:tcPr>
            <w:tcW w:w="2257" w:type="pct"/>
            <w:shd w:val="clear" w:color="auto" w:fill="FFFFFF"/>
            <w:noWrap w:val="0"/>
            <w:tcMar>
              <w:top w:w="15" w:type="dxa"/>
              <w:left w:w="15" w:type="dxa"/>
              <w:right w:w="15" w:type="dxa"/>
            </w:tcMar>
            <w:vAlign w:val="center"/>
          </w:tcPr>
          <w:p>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清检查井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积泥深度45cm内</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1.人工清理:50cm*40cm，积泥厚50cm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2.人工装自卸汽车 </w:t>
            </w:r>
          </w:p>
          <w:p>
            <w:pPr>
              <w:keepNext w:val="0"/>
              <w:keepLines w:val="0"/>
              <w:widowControl/>
              <w:suppressLineNumbers w:val="0"/>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color w:val="000000"/>
                <w:kern w:val="0"/>
                <w:sz w:val="21"/>
                <w:szCs w:val="21"/>
                <w:lang w:val="en-US" w:eastAsia="zh-CN" w:bidi="ar"/>
              </w:rPr>
              <w:t>3.运距:3km</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12</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座</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303" w:type="pct"/>
            <w:vMerge w:val="continue"/>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p>
        </w:tc>
        <w:tc>
          <w:tcPr>
            <w:tcW w:w="810" w:type="pct"/>
            <w:vMerge w:val="continue"/>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c>
          <w:tcPr>
            <w:tcW w:w="2257" w:type="pct"/>
            <w:shd w:val="clear" w:color="auto" w:fill="FFFFFF"/>
            <w:noWrap w:val="0"/>
            <w:tcMar>
              <w:top w:w="15" w:type="dxa"/>
              <w:left w:w="15" w:type="dxa"/>
              <w:right w:w="15" w:type="dxa"/>
            </w:tcMar>
            <w:vAlign w:val="center"/>
          </w:tcPr>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混凝土管</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1.水力冲洗管道，管径300mm内 积泥1/2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2.人工装自卸汽车 </w:t>
            </w:r>
          </w:p>
          <w:p>
            <w:pPr>
              <w:keepNext w:val="0"/>
              <w:keepLines w:val="0"/>
              <w:widowControl/>
              <w:suppressLineNumbers w:val="0"/>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color w:val="000000"/>
                <w:kern w:val="0"/>
                <w:sz w:val="21"/>
                <w:szCs w:val="21"/>
                <w:lang w:val="en-US" w:eastAsia="zh-CN" w:bidi="ar"/>
              </w:rPr>
              <w:t>3.运距:3km</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6</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303" w:type="pct"/>
            <w:vMerge w:val="restar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10</w:t>
            </w:r>
          </w:p>
        </w:tc>
        <w:tc>
          <w:tcPr>
            <w:tcW w:w="810" w:type="pct"/>
            <w:vMerge w:val="restar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城东路</w:t>
            </w:r>
          </w:p>
        </w:tc>
        <w:tc>
          <w:tcPr>
            <w:tcW w:w="2257" w:type="pct"/>
            <w:shd w:val="clear" w:color="auto" w:fill="FFFFFF"/>
            <w:noWrap w:val="0"/>
            <w:tcMar>
              <w:top w:w="15" w:type="dxa"/>
              <w:left w:w="15" w:type="dxa"/>
              <w:right w:w="15" w:type="dxa"/>
            </w:tcMar>
            <w:vAlign w:val="center"/>
          </w:tcPr>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清明涌 自然底</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1.水沟清淤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2.人工装自卸汽车 </w:t>
            </w:r>
          </w:p>
          <w:p>
            <w:pPr>
              <w:keepNext w:val="0"/>
              <w:keepLines w:val="0"/>
              <w:widowControl/>
              <w:suppressLineNumbers w:val="0"/>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color w:val="000000"/>
                <w:kern w:val="0"/>
                <w:sz w:val="21"/>
                <w:szCs w:val="21"/>
                <w:lang w:val="en-US" w:eastAsia="zh-CN" w:bidi="ar"/>
              </w:rPr>
              <w:t>3.运距:3km</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175</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m3</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303" w:type="pct"/>
            <w:vMerge w:val="continue"/>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p>
        </w:tc>
        <w:tc>
          <w:tcPr>
            <w:tcW w:w="810" w:type="pct"/>
            <w:vMerge w:val="continue"/>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c>
          <w:tcPr>
            <w:tcW w:w="2257" w:type="pct"/>
            <w:shd w:val="clear" w:color="auto" w:fill="FFFFFF"/>
            <w:noWrap w:val="0"/>
            <w:tcMar>
              <w:top w:w="15" w:type="dxa"/>
              <w:left w:w="15" w:type="dxa"/>
              <w:right w:w="15" w:type="dxa"/>
            </w:tcMar>
            <w:vAlign w:val="center"/>
          </w:tcPr>
          <w:p>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原有水沟盖板拆除、安装</w:t>
            </w:r>
          </w:p>
          <w:p>
            <w:pPr>
              <w:keepNext w:val="0"/>
              <w:keepLines w:val="0"/>
              <w:widowControl/>
              <w:suppressLineNumbers w:val="0"/>
              <w:jc w:val="left"/>
              <w:rPr>
                <w:rFonts w:hint="eastAsia" w:ascii="宋体" w:hAnsi="宋体" w:eastAsia="宋体" w:cs="宋体"/>
                <w:sz w:val="21"/>
                <w:szCs w:val="21"/>
                <w:lang w:val="en-US" w:eastAsia="zh-CN"/>
              </w:rPr>
            </w:pPr>
            <w:r>
              <w:rPr>
                <w:rFonts w:hint="eastAsia" w:ascii="宋体" w:hAnsi="宋体" w:eastAsia="宋体" w:cs="宋体"/>
                <w:color w:val="000000"/>
                <w:kern w:val="0"/>
                <w:sz w:val="21"/>
                <w:szCs w:val="21"/>
                <w:lang w:val="en-US" w:eastAsia="zh-CN" w:bidi="ar"/>
              </w:rPr>
              <w:t>1.原有水沟盖板拆除、安装</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350</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303" w:type="pct"/>
            <w:vMerge w:val="restar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11</w:t>
            </w:r>
          </w:p>
        </w:tc>
        <w:tc>
          <w:tcPr>
            <w:tcW w:w="810" w:type="pct"/>
            <w:vMerge w:val="restar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永安大道建滔对面</w:t>
            </w:r>
          </w:p>
        </w:tc>
        <w:tc>
          <w:tcPr>
            <w:tcW w:w="2257" w:type="pct"/>
            <w:shd w:val="clear" w:color="auto" w:fill="FFFFFF"/>
            <w:noWrap w:val="0"/>
            <w:tcMar>
              <w:top w:w="15" w:type="dxa"/>
              <w:left w:w="15" w:type="dxa"/>
              <w:right w:w="15" w:type="dxa"/>
            </w:tcMar>
            <w:vAlign w:val="center"/>
          </w:tcPr>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挖淤泥、流砂</w:t>
            </w:r>
          </w:p>
          <w:p>
            <w:pPr>
              <w:keepNext w:val="0"/>
              <w:keepLines w:val="0"/>
              <w:widowControl/>
              <w:suppressLineNumbers w:val="0"/>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color w:val="000000"/>
                <w:kern w:val="0"/>
                <w:sz w:val="21"/>
                <w:szCs w:val="21"/>
                <w:lang w:val="en-US" w:eastAsia="zh-CN" w:bidi="ar"/>
              </w:rPr>
              <w:t>1.内容:人工配合机械清理水沟淤泥</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750</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m3</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9" w:hRule="atLeast"/>
          <w:jc w:val="center"/>
        </w:trPr>
        <w:tc>
          <w:tcPr>
            <w:tcW w:w="303" w:type="pct"/>
            <w:vMerge w:val="continue"/>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p>
        </w:tc>
        <w:tc>
          <w:tcPr>
            <w:tcW w:w="810" w:type="pct"/>
            <w:vMerge w:val="continue"/>
            <w:shd w:val="clear" w:color="auto" w:fill="FFFFFF"/>
            <w:noWrap w:val="0"/>
            <w:tcMar>
              <w:top w:w="15" w:type="dxa"/>
              <w:left w:w="15" w:type="dxa"/>
              <w:right w:w="15" w:type="dxa"/>
            </w:tcMar>
            <w:vAlign w:val="center"/>
          </w:tcPr>
          <w:p>
            <w:pPr>
              <w:keepNext w:val="0"/>
              <w:keepLines w:val="0"/>
              <w:widowControl/>
              <w:suppressLineNumbers w:val="0"/>
              <w:jc w:val="center"/>
              <w:rPr>
                <w:rFonts w:hint="eastAsia" w:ascii="宋体" w:hAnsi="宋体" w:eastAsia="宋体" w:cs="宋体"/>
                <w:color w:val="000000"/>
                <w:kern w:val="0"/>
                <w:sz w:val="21"/>
                <w:szCs w:val="21"/>
                <w:lang w:val="en-US" w:eastAsia="zh-CN" w:bidi="ar"/>
              </w:rPr>
            </w:pPr>
          </w:p>
        </w:tc>
        <w:tc>
          <w:tcPr>
            <w:tcW w:w="2257" w:type="pct"/>
            <w:shd w:val="clear" w:color="auto" w:fill="FFFFFF"/>
            <w:noWrap w:val="0"/>
            <w:tcMar>
              <w:top w:w="15" w:type="dxa"/>
              <w:left w:w="15" w:type="dxa"/>
              <w:right w:w="15" w:type="dxa"/>
            </w:tcMar>
            <w:vAlign w:val="center"/>
          </w:tcPr>
          <w:p>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余方弃置</w:t>
            </w:r>
          </w:p>
          <w:p>
            <w:pPr>
              <w:keepNext w:val="0"/>
              <w:keepLines w:val="0"/>
              <w:widowControl/>
              <w:numPr>
                <w:ilvl w:val="0"/>
                <w:numId w:val="0"/>
              </w:numPr>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1.自卸汽车运淤泥、流砂</w:t>
            </w:r>
          </w:p>
          <w:p>
            <w:pPr>
              <w:keepNext w:val="0"/>
              <w:keepLines w:val="0"/>
              <w:widowControl/>
              <w:numPr>
                <w:ilvl w:val="0"/>
                <w:numId w:val="0"/>
              </w:numPr>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2.运距1km内 </w:t>
            </w:r>
          </w:p>
          <w:p>
            <w:pPr>
              <w:keepNext w:val="0"/>
              <w:keepLines w:val="0"/>
              <w:widowControl/>
              <w:numPr>
                <w:ilvl w:val="0"/>
                <w:numId w:val="0"/>
              </w:numPr>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3.实际运距(km):3</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750</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m3</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303" w:type="pct"/>
            <w:vMerge w:val="restar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12</w:t>
            </w:r>
          </w:p>
        </w:tc>
        <w:tc>
          <w:tcPr>
            <w:tcW w:w="810" w:type="pct"/>
            <w:vMerge w:val="restar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永安大道丹凤山路段</w:t>
            </w:r>
          </w:p>
        </w:tc>
        <w:tc>
          <w:tcPr>
            <w:tcW w:w="2257" w:type="pct"/>
            <w:shd w:val="clear" w:color="auto" w:fill="FFFFFF"/>
            <w:noWrap w:val="0"/>
            <w:tcMar>
              <w:top w:w="15" w:type="dxa"/>
              <w:left w:w="15" w:type="dxa"/>
              <w:right w:w="15" w:type="dxa"/>
            </w:tcMar>
            <w:vAlign w:val="center"/>
          </w:tcPr>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挖淤泥、流砂</w:t>
            </w:r>
          </w:p>
          <w:p>
            <w:pPr>
              <w:keepNext w:val="0"/>
              <w:keepLines w:val="0"/>
              <w:widowControl/>
              <w:suppressLineNumbers w:val="0"/>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color w:val="000000"/>
                <w:kern w:val="0"/>
                <w:sz w:val="21"/>
                <w:szCs w:val="21"/>
                <w:lang w:val="en-US" w:eastAsia="zh-CN" w:bidi="ar"/>
              </w:rPr>
              <w:t>1.内容:人工配合机械清理水沟淤泥</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500</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m3</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303" w:type="pct"/>
            <w:vMerge w:val="continue"/>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p>
        </w:tc>
        <w:tc>
          <w:tcPr>
            <w:tcW w:w="810" w:type="pct"/>
            <w:vMerge w:val="continue"/>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c>
          <w:tcPr>
            <w:tcW w:w="2257" w:type="pct"/>
            <w:shd w:val="clear" w:color="auto" w:fill="FFFFFF"/>
            <w:noWrap w:val="0"/>
            <w:tcMar>
              <w:top w:w="15" w:type="dxa"/>
              <w:left w:w="15" w:type="dxa"/>
              <w:right w:w="15" w:type="dxa"/>
            </w:tcMar>
            <w:vAlign w:val="center"/>
          </w:tcPr>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余方弃置</w:t>
            </w:r>
          </w:p>
          <w:p>
            <w:pPr>
              <w:keepNext w:val="0"/>
              <w:keepLines w:val="0"/>
              <w:widowControl/>
              <w:numPr>
                <w:ilvl w:val="0"/>
                <w:numId w:val="0"/>
              </w:numPr>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1.自卸汽车运淤泥、流砂 </w:t>
            </w:r>
          </w:p>
          <w:p>
            <w:pPr>
              <w:keepNext w:val="0"/>
              <w:keepLines w:val="0"/>
              <w:widowControl/>
              <w:numPr>
                <w:ilvl w:val="0"/>
                <w:numId w:val="0"/>
              </w:numPr>
              <w:suppressLineNumbers w:val="0"/>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lang w:val="en-US" w:eastAsia="zh-CN" w:bidi="ar-SA"/>
              </w:rPr>
              <w:t>2.</w:t>
            </w:r>
            <w:r>
              <w:rPr>
                <w:rFonts w:hint="eastAsia" w:ascii="宋体" w:hAnsi="宋体" w:eastAsia="宋体" w:cs="宋体"/>
                <w:color w:val="000000"/>
                <w:kern w:val="0"/>
                <w:sz w:val="21"/>
                <w:szCs w:val="21"/>
                <w:lang w:val="en-US" w:eastAsia="zh-CN" w:bidi="ar"/>
              </w:rPr>
              <w:t xml:space="preserve">运距1km内 </w:t>
            </w:r>
          </w:p>
          <w:p>
            <w:pPr>
              <w:keepNext w:val="0"/>
              <w:keepLines w:val="0"/>
              <w:widowControl/>
              <w:numPr>
                <w:ilvl w:val="0"/>
                <w:numId w:val="0"/>
              </w:numPr>
              <w:suppressLineNumbers w:val="0"/>
              <w:jc w:val="left"/>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lang w:val="en-US" w:eastAsia="zh-CN" w:bidi="ar-SA"/>
              </w:rPr>
              <w:t>3.</w:t>
            </w:r>
            <w:r>
              <w:rPr>
                <w:rFonts w:hint="eastAsia" w:ascii="宋体" w:hAnsi="宋体" w:eastAsia="宋体" w:cs="宋体"/>
                <w:color w:val="000000"/>
                <w:kern w:val="0"/>
                <w:sz w:val="21"/>
                <w:szCs w:val="21"/>
                <w:lang w:val="en-US" w:eastAsia="zh-CN" w:bidi="ar"/>
              </w:rPr>
              <w:t>实际运距(km):3</w:t>
            </w:r>
          </w:p>
        </w:tc>
        <w:tc>
          <w:tcPr>
            <w:tcW w:w="45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500</w:t>
            </w:r>
          </w:p>
        </w:tc>
        <w:tc>
          <w:tcPr>
            <w:tcW w:w="548"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m3</w:t>
            </w:r>
          </w:p>
        </w:tc>
        <w:tc>
          <w:tcPr>
            <w:tcW w:w="630" w:type="pct"/>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r>
    </w:tbl>
    <w:p>
      <w:pPr>
        <w:spacing w:line="240" w:lineRule="auto"/>
        <w:rPr>
          <w:rFonts w:hint="eastAsia" w:ascii="宋体" w:hAnsi="宋体" w:eastAsia="宋体" w:cs="宋体"/>
          <w:b w:val="0"/>
          <w:bCs w:val="0"/>
          <w:color w:val="auto"/>
          <w:sz w:val="21"/>
          <w:szCs w:val="21"/>
          <w:lang w:val="en-US" w:eastAsia="zh-CN"/>
        </w:rPr>
      </w:pPr>
    </w:p>
    <w:p>
      <w:pPr>
        <w:pStyle w:val="2"/>
        <w:spacing w:line="360" w:lineRule="auto"/>
        <w:ind w:left="0" w:leftChars="0" w:firstLine="0" w:firstLineChars="0"/>
        <w:rPr>
          <w:rFonts w:hint="eastAsia" w:ascii="宋体" w:hAnsi="宋体" w:eastAsia="宋体" w:cs="宋体"/>
          <w:b/>
          <w:bCs/>
          <w:color w:val="auto"/>
          <w:kern w:val="2"/>
          <w:sz w:val="21"/>
          <w:szCs w:val="21"/>
          <w:lang w:val="en-US" w:eastAsia="zh-CN" w:bidi="ar-SA"/>
        </w:rPr>
      </w:pPr>
      <w:bookmarkStart w:id="0" w:name="_Toc27147"/>
      <w:r>
        <w:rPr>
          <w:rFonts w:hint="eastAsia" w:ascii="宋体" w:hAnsi="宋体" w:eastAsia="宋体" w:cs="宋体"/>
          <w:b/>
          <w:bCs/>
          <w:color w:val="auto"/>
          <w:kern w:val="2"/>
          <w:sz w:val="21"/>
          <w:szCs w:val="21"/>
          <w:lang w:val="en-US" w:eastAsia="zh-CN" w:bidi="ar-SA"/>
        </w:rPr>
        <w:t>3.服务质量要求</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（1）服务范围内的排水设施要求服务期内全面保持畅通，发现堵塞立即清理疏通，保持主次干管内无垃圾杂草及盘根错节的树根等杂物，沉积淤泥不得超过管径的1/5。</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（2）遇重大节日或举办重大活动时，必须无条件服从采购人组织的突击性任务及迎检活动，按时、按标准、按要求完成采购人所分配的工作。</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（3）做好积水和内涝隐患点的摸底排查工作，并做好应急预案。汛期期间，须安排人员24小时值班并做好安全保障措施。</w:t>
      </w:r>
    </w:p>
    <w:p>
      <w:pPr>
        <w:pStyle w:val="2"/>
        <w:spacing w:line="360" w:lineRule="auto"/>
        <w:ind w:left="0" w:leftChars="0" w:firstLine="0" w:firstLineChars="0"/>
        <w:rPr>
          <w:rFonts w:hint="eastAsia" w:ascii="宋体" w:hAnsi="宋体" w:eastAsia="宋体" w:cs="宋体"/>
          <w:b/>
          <w:bCs/>
          <w:color w:val="auto"/>
          <w:kern w:val="2"/>
          <w:sz w:val="21"/>
          <w:szCs w:val="21"/>
          <w:lang w:val="en-US" w:eastAsia="zh-CN" w:bidi="ar-SA"/>
        </w:rPr>
      </w:pPr>
    </w:p>
    <w:p>
      <w:pPr>
        <w:pStyle w:val="2"/>
        <w:spacing w:line="360" w:lineRule="auto"/>
        <w:ind w:left="0" w:leftChars="0" w:firstLine="0" w:firstLineChars="0"/>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4.设备配置要求</w:t>
      </w:r>
      <w:r>
        <w:rPr>
          <w:rFonts w:hint="eastAsia" w:ascii="宋体" w:hAnsi="宋体" w:cs="宋体"/>
          <w:b/>
          <w:bCs/>
          <w:color w:val="auto"/>
          <w:kern w:val="2"/>
          <w:sz w:val="21"/>
          <w:szCs w:val="21"/>
          <w:lang w:val="en-US" w:eastAsia="zh-CN" w:bidi="ar-SA"/>
        </w:rPr>
        <w:t>（具体以实际签订合同为准）</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（1）专用日常巡查应急抢险车辆不少于5辆，高压清洗车不少于1辆、容量≥8立方米的吸污车不少于1辆、容量≥18立方米的吸污车不少于1辆。</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（2）配备数量充足的交通警示标志、施工围档、安全帽、反光衣、雪糕筒以及抽水泵、发电机、抽风机、气体检测仪器等其它必须使用的工具。</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（3）配备管道潜望镜（QV）等专业检测设备供巡查使用。</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p>
    <w:p>
      <w:pPr>
        <w:pStyle w:val="2"/>
        <w:spacing w:line="360" w:lineRule="auto"/>
        <w:ind w:left="0" w:leftChars="0" w:firstLine="0" w:firstLineChars="0"/>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5.人员配置要求</w:t>
      </w:r>
      <w:r>
        <w:rPr>
          <w:rFonts w:hint="eastAsia" w:ascii="宋体" w:hAnsi="宋体" w:cs="宋体"/>
          <w:b/>
          <w:bCs/>
          <w:color w:val="auto"/>
          <w:kern w:val="2"/>
          <w:sz w:val="21"/>
          <w:szCs w:val="21"/>
          <w:lang w:val="en-US" w:eastAsia="zh-CN" w:bidi="ar-SA"/>
        </w:rPr>
        <w:t>（具体以实际签订合同为准）</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（1）成立项目部，养护服务人员应具备相关的专业知识及技术水平，熟悉有关的规范、技术指标及施工工艺等，有足够能力完成排水管道清淤养护工作。</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（2）配备不少于6人负责维护范围内的排水设施日常维护巡查工作，除项目负责人外并配备3名水利或市政工程师、1名电工、1名安全员及1名专职资料员；</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（3）在暴雨期间，配备不少于12名应急抢险工作人员，保证清淤维护和应急抢险工作顺利完成。暴雨期间，项目负责人需现场指挥。</w:t>
      </w:r>
    </w:p>
    <w:p>
      <w:pPr>
        <w:pStyle w:val="2"/>
        <w:spacing w:line="360" w:lineRule="auto"/>
        <w:ind w:left="0" w:leftChars="0" w:firstLine="0" w:firstLineChars="0"/>
        <w:rPr>
          <w:rFonts w:hint="eastAsia" w:ascii="宋体" w:hAnsi="宋体" w:eastAsia="宋体" w:cs="宋体"/>
          <w:b/>
          <w:bCs/>
          <w:color w:val="auto"/>
          <w:kern w:val="2"/>
          <w:sz w:val="21"/>
          <w:szCs w:val="21"/>
          <w:lang w:val="en-US" w:eastAsia="zh-CN" w:bidi="ar-SA"/>
        </w:rPr>
      </w:pPr>
    </w:p>
    <w:p>
      <w:pPr>
        <w:pStyle w:val="2"/>
        <w:spacing w:line="360" w:lineRule="auto"/>
        <w:ind w:left="0" w:leftChars="0" w:firstLine="0" w:firstLineChars="0"/>
        <w:rPr>
          <w:rFonts w:hint="eastAsia" w:ascii="宋体" w:hAnsi="宋体" w:eastAsia="宋体" w:cs="宋体"/>
          <w:b/>
          <w:bCs/>
          <w:color w:val="auto"/>
          <w:kern w:val="2"/>
          <w:sz w:val="21"/>
          <w:szCs w:val="21"/>
          <w:lang w:val="en-US" w:eastAsia="zh-CN" w:bidi="ar-SA"/>
        </w:rPr>
      </w:pPr>
    </w:p>
    <w:p>
      <w:pPr>
        <w:pStyle w:val="2"/>
        <w:spacing w:line="360" w:lineRule="auto"/>
        <w:ind w:left="0" w:leftChars="0" w:firstLine="0" w:firstLineChars="0"/>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6.安全文明施工要求</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（1）清淤维护过程中，要求使用施工围档进行围闭，设置交通警示标志，做好交通疏导工作，保证车辆和行人的安全。</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（2）产生的淤泥和垃圾等必须及时合法合规处置，不能对道路及第三方产生污染，不得影响正常交通及周边环境。</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（3）保洁及应急抢险施工时，必须按规定穿反光服、水鞋等。</w:t>
      </w:r>
    </w:p>
    <w:p>
      <w:pPr>
        <w:pStyle w:val="2"/>
        <w:spacing w:line="360" w:lineRule="auto"/>
        <w:ind w:left="0" w:leftChars="0" w:firstLine="0" w:firstLineChars="0"/>
        <w:rPr>
          <w:rFonts w:hint="eastAsia" w:ascii="宋体" w:hAnsi="宋体" w:eastAsia="宋体" w:cs="宋体"/>
          <w:b/>
          <w:bCs/>
          <w:color w:val="auto"/>
          <w:kern w:val="2"/>
          <w:sz w:val="21"/>
          <w:szCs w:val="21"/>
          <w:lang w:val="en-US" w:eastAsia="zh-CN" w:bidi="ar-SA"/>
        </w:rPr>
      </w:pPr>
    </w:p>
    <w:p>
      <w:pPr>
        <w:pStyle w:val="2"/>
        <w:spacing w:line="360" w:lineRule="auto"/>
        <w:ind w:left="0" w:leftChars="0" w:firstLine="0" w:firstLineChars="0"/>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7.环境保护</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成交供应商应遵守国家和地方有关环境保护的法规、规章，不得使管道淤泥或其他有害物质(扬尘、废水、废油等)污染道路、土地、河流，在城镇要控制噪声，防止扰民。若因违反环境保护有关规定而受到处罚或被要求赔偿，成交供应商应负全部责任。</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本项目淤泥处置必须符合相关规定执行，要求运载车辆做好运载过程中防止淤泥洒落造成二次污染的措施，淤泥的脱水固化处理及弃置点由成交供应商运输至合法的处置地点处置，不得随便荒弃。否则由此造成的损失和相关责任均由成交供应商承担，相关费用须考虑在投标报价中。</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在全部项目完成后，除已征得采购人的同意外，成交供应商必须拆除一切必须拆除的临时设施和临时生活设施。拆除后的场地应彻底清理。凡采购人决定保留的设施，应由采购人与成交供应商协商解决处理办法。</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p>
    <w:p>
      <w:pPr>
        <w:pStyle w:val="2"/>
        <w:spacing w:line="360" w:lineRule="auto"/>
        <w:ind w:left="0" w:leftChars="0" w:firstLine="0" w:firstLineChars="0"/>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8.其他要求</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（1）未经采购人批准，成交供应商不得以任何方式转包或分包本项目。</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（2）成交供应商必须对其雇员的意外工伤、死亡承担责任，负责有关追讨、诉讼及赔偿等费用，采购人无须对这些意外工伤、死亡承担任何责任。</w:t>
      </w:r>
    </w:p>
    <w:p>
      <w:pPr>
        <w:pStyle w:val="2"/>
        <w:spacing w:line="360" w:lineRule="auto"/>
        <w:ind w:left="0" w:leftChars="0" w:firstLine="0" w:firstLineChars="0"/>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（3）作业中成交供应商的用水用电及所有设备的准备、燃料费用及人工费用均由成交供应商自理。</w:t>
      </w:r>
    </w:p>
    <w:p>
      <w:pPr>
        <w:pStyle w:val="2"/>
        <w:ind w:left="0" w:leftChars="0" w:firstLine="0" w:firstLineChars="0"/>
        <w:rPr>
          <w:rFonts w:hint="eastAsia" w:ascii="宋体" w:hAnsi="宋体" w:eastAsia="宋体" w:cs="宋体"/>
          <w:b/>
          <w:bCs/>
          <w:color w:val="auto"/>
          <w:kern w:val="2"/>
          <w:sz w:val="21"/>
          <w:szCs w:val="21"/>
          <w:lang w:val="en-US" w:eastAsia="zh-CN" w:bidi="ar-SA"/>
        </w:rPr>
      </w:pPr>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二、</w:t>
      </w:r>
      <w:r>
        <w:rPr>
          <w:rFonts w:hint="eastAsia" w:ascii="宋体" w:hAnsi="宋体" w:eastAsia="宋体" w:cs="宋体"/>
          <w:b/>
          <w:bCs/>
          <w:color w:val="auto"/>
          <w:sz w:val="21"/>
          <w:szCs w:val="21"/>
          <w:lang w:val="en-US" w:eastAsia="zh-CN"/>
        </w:rPr>
        <w:t>商务要求</w:t>
      </w:r>
      <w:bookmarkEnd w:id="0"/>
    </w:p>
    <w:p>
      <w:pPr>
        <w:pStyle w:val="9"/>
        <w:numPr>
          <w:ilvl w:val="0"/>
          <w:numId w:val="0"/>
        </w:numPr>
        <w:spacing w:line="360" w:lineRule="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（一）服务期：2023年10月至2024年10月</w:t>
      </w:r>
    </w:p>
    <w:p>
      <w:pPr>
        <w:pStyle w:val="9"/>
        <w:numPr>
          <w:ilvl w:val="0"/>
          <w:numId w:val="0"/>
        </w:numPr>
        <w:spacing w:line="360" w:lineRule="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二</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服务地点：采购人指定地点</w:t>
      </w:r>
    </w:p>
    <w:p>
      <w:pPr>
        <w:numPr>
          <w:ilvl w:val="0"/>
          <w:numId w:val="0"/>
        </w:numPr>
        <w:spacing w:line="360" w:lineRule="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（三）服务验收：</w:t>
      </w:r>
    </w:p>
    <w:p>
      <w:pPr>
        <w:numPr>
          <w:ilvl w:val="0"/>
          <w:numId w:val="0"/>
        </w:numPr>
        <w:spacing w:line="360" w:lineRule="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（1）验收工作由采购人（或采购人指定的单位）和成交供应商共同进行。 </w:t>
      </w:r>
    </w:p>
    <w:p>
      <w:pPr>
        <w:numPr>
          <w:ilvl w:val="0"/>
          <w:numId w:val="0"/>
        </w:numPr>
        <w:spacing w:line="360" w:lineRule="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（2）验收标准：按招标文件技术要求和合同条款、以及参国家、省、市有关最新规范标准进行验收，在验收时，成交供应商向采购人提供本项目服务过程资料及总结资料。 </w:t>
      </w:r>
    </w:p>
    <w:p>
      <w:pPr>
        <w:numPr>
          <w:ilvl w:val="0"/>
          <w:numId w:val="0"/>
        </w:numPr>
        <w:spacing w:line="360" w:lineRule="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（3）由采购人对服务内容进行验收。如发现效果与招标文件要求规定不符，采购人有权拒绝接受。</w:t>
      </w:r>
    </w:p>
    <w:p>
      <w:pPr>
        <w:numPr>
          <w:ilvl w:val="0"/>
          <w:numId w:val="0"/>
        </w:numPr>
        <w:spacing w:line="360" w:lineRule="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（五）付款方式：</w:t>
      </w:r>
    </w:p>
    <w:p>
      <w:pPr>
        <w:numPr>
          <w:ilvl w:val="0"/>
          <w:numId w:val="0"/>
        </w:numPr>
        <w:spacing w:line="360" w:lineRule="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（1）支付比例30%,合同签订后</w:t>
      </w:r>
      <w:r>
        <w:rPr>
          <w:rFonts w:hint="eastAsia" w:ascii="宋体" w:hAnsi="宋体" w:cs="宋体"/>
          <w:b w:val="0"/>
          <w:bCs w:val="0"/>
          <w:color w:val="auto"/>
          <w:sz w:val="21"/>
          <w:szCs w:val="21"/>
          <w:lang w:val="en-US" w:eastAsia="zh-CN"/>
        </w:rPr>
        <w:t>20</w:t>
      </w:r>
      <w:r>
        <w:rPr>
          <w:rFonts w:hint="eastAsia" w:ascii="宋体" w:hAnsi="宋体" w:eastAsia="宋体" w:cs="宋体"/>
          <w:b w:val="0"/>
          <w:bCs w:val="0"/>
          <w:color w:val="auto"/>
          <w:sz w:val="21"/>
          <w:szCs w:val="21"/>
          <w:lang w:val="en-US" w:eastAsia="zh-CN"/>
        </w:rPr>
        <w:t>个工作日内按合同价的30%作为预付款支付给成交供应商。</w:t>
      </w:r>
    </w:p>
    <w:p>
      <w:pPr>
        <w:numPr>
          <w:ilvl w:val="0"/>
          <w:numId w:val="0"/>
        </w:numPr>
        <w:spacing w:line="360" w:lineRule="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ascii="宋体" w:hAnsi="宋体" w:cs="宋体"/>
          <w:b w:val="0"/>
          <w:bCs w:val="0"/>
          <w:color w:val="auto"/>
          <w:sz w:val="21"/>
          <w:szCs w:val="21"/>
          <w:lang w:val="en-US" w:eastAsia="zh-CN"/>
        </w:rPr>
        <w:t xml:space="preserve"> 2</w:t>
      </w:r>
      <w:r>
        <w:rPr>
          <w:rFonts w:hint="eastAsia" w:ascii="宋体" w:hAnsi="宋体" w:eastAsia="宋体" w:cs="宋体"/>
          <w:b w:val="0"/>
          <w:bCs w:val="0"/>
          <w:color w:val="auto"/>
          <w:sz w:val="21"/>
          <w:szCs w:val="21"/>
          <w:lang w:val="en-US" w:eastAsia="zh-CN"/>
        </w:rPr>
        <w:t>）支付比例</w:t>
      </w:r>
      <w:r>
        <w:rPr>
          <w:rFonts w:hint="eastAsia" w:ascii="宋体" w:hAnsi="宋体" w:cs="宋体"/>
          <w:b w:val="0"/>
          <w:bCs w:val="0"/>
          <w:color w:val="auto"/>
          <w:sz w:val="21"/>
          <w:szCs w:val="21"/>
          <w:lang w:val="en-US" w:eastAsia="zh-CN"/>
        </w:rPr>
        <w:t>7</w:t>
      </w:r>
      <w:r>
        <w:rPr>
          <w:rFonts w:hint="eastAsia" w:ascii="宋体" w:hAnsi="宋体" w:eastAsia="宋体" w:cs="宋体"/>
          <w:b w:val="0"/>
          <w:bCs w:val="0"/>
          <w:color w:val="auto"/>
          <w:sz w:val="21"/>
          <w:szCs w:val="21"/>
          <w:lang w:val="en-US" w:eastAsia="zh-CN"/>
        </w:rPr>
        <w:t>0%,工程竣工验收合格后且通过财政部门结算审核定案后</w:t>
      </w:r>
      <w:r>
        <w:rPr>
          <w:rFonts w:hint="eastAsia" w:ascii="宋体" w:hAnsi="宋体" w:cs="宋体"/>
          <w:b w:val="0"/>
          <w:bCs w:val="0"/>
          <w:color w:val="auto"/>
          <w:sz w:val="21"/>
          <w:szCs w:val="21"/>
          <w:lang w:val="en-US" w:eastAsia="zh-CN"/>
        </w:rPr>
        <w:t>20</w:t>
      </w:r>
      <w:r>
        <w:rPr>
          <w:rFonts w:hint="eastAsia" w:ascii="宋体" w:hAnsi="宋体" w:eastAsia="宋体" w:cs="宋体"/>
          <w:b w:val="0"/>
          <w:bCs w:val="0"/>
          <w:color w:val="auto"/>
          <w:sz w:val="21"/>
          <w:szCs w:val="21"/>
          <w:lang w:val="en-US" w:eastAsia="zh-CN"/>
        </w:rPr>
        <w:t>天内，采购人向成交供应商支付至结算定案价款的100%。</w:t>
      </w:r>
    </w:p>
    <w:p>
      <w:pPr>
        <w:numPr>
          <w:ilvl w:val="0"/>
          <w:numId w:val="0"/>
        </w:numPr>
        <w:spacing w:line="360" w:lineRule="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（六）保修期</w:t>
      </w:r>
    </w:p>
    <w:p>
      <w:pPr>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保修期（含缺陷责任期、保修期服务要求）：缺陷责任期自实际竣工日期起计算 12 个月。质量保修期：自竣工验收合格之日算起。单项竣工验收的工程，按单项工程分别计算质量保修期。</w:t>
      </w:r>
    </w:p>
    <w:p>
      <w:pPr>
        <w:numPr>
          <w:ilvl w:val="0"/>
          <w:numId w:val="0"/>
        </w:numPr>
        <w:spacing w:line="360" w:lineRule="auto"/>
        <w:ind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双方根据《建设工程质量管理条例》及有关规定，约定本工程质量保修期如下：</w:t>
      </w:r>
    </w:p>
    <w:p>
      <w:pPr>
        <w:numPr>
          <w:ilvl w:val="0"/>
          <w:numId w:val="0"/>
        </w:numPr>
        <w:spacing w:line="360" w:lineRule="auto"/>
        <w:ind w:leftChars="0"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①工程竣工验收合格之日起1年；</w:t>
      </w:r>
    </w:p>
    <w:p>
      <w:pPr>
        <w:numPr>
          <w:ilvl w:val="0"/>
          <w:numId w:val="0"/>
        </w:numPr>
        <w:spacing w:line="360" w:lineRule="auto"/>
        <w:ind w:leftChars="0"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②其他项目保修期限按政府相关规定执行。</w:t>
      </w:r>
    </w:p>
    <w:p>
      <w:pPr>
        <w:numPr>
          <w:ilvl w:val="0"/>
          <w:numId w:val="0"/>
        </w:numPr>
        <w:spacing w:line="360" w:lineRule="auto"/>
        <w:ind w:leftChars="0" w:firstLine="420" w:firstLineChars="200"/>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保修期与缺陷责任期重叠的期间内，成交供应商的保修责任同缺陷责任。在缺陷责任期满后的保修期内，成交供应商可不在工地留有办事人员和机械设备，但必须随时与采购人保持联系，发生紧急抢修事故的，成交供应商应在接到通知后 1 天内到达事故现场抢修。质保服务方式均为成交供应商派员到采购人现场维修，在保修期内成交供应商应对由于施工质量原因造成的损坏自费进行修复。</w:t>
      </w: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04CD5865"/>
    <w:rsid w:val="04CD5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正"/>
    <w:basedOn w:val="1"/>
    <w:qFormat/>
    <w:uiPriority w:val="0"/>
    <w:pPr>
      <w:spacing w:line="560" w:lineRule="exact"/>
      <w:ind w:firstLine="561"/>
    </w:pPr>
    <w:rPr>
      <w:rFonts w:ascii="Calibri" w:hAnsi="Calibri"/>
      <w:sz w:val="28"/>
      <w:szCs w:val="24"/>
    </w:rPr>
  </w:style>
  <w:style w:type="paragraph" w:styleId="3">
    <w:name w:val="Body Text Indent"/>
    <w:basedOn w:val="1"/>
    <w:qFormat/>
    <w:uiPriority w:val="0"/>
    <w:pPr>
      <w:spacing w:line="360" w:lineRule="auto"/>
      <w:ind w:left="425" w:firstLine="518" w:firstLineChars="216"/>
    </w:pPr>
    <w:rPr>
      <w:rFonts w:ascii="楷体_GB2312" w:eastAsia="楷体_GB2312"/>
      <w:sz w:val="24"/>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unhideWhenUsed/>
    <w:qFormat/>
    <w:uiPriority w:val="99"/>
    <w:pPr>
      <w:ind w:firstLine="420" w:firstLineChars="200"/>
    </w:pPr>
  </w:style>
  <w:style w:type="paragraph" w:customStyle="1" w:styleId="9">
    <w:name w:val="Normal Indent"/>
    <w:basedOn w:val="10"/>
    <w:qFormat/>
    <w:uiPriority w:val="0"/>
    <w:pPr>
      <w:widowControl/>
      <w:ind w:firstLine="420"/>
      <w:jc w:val="left"/>
    </w:pPr>
    <w:rPr>
      <w:rFonts w:ascii="Times New Roman" w:hAnsi="Times New Roman"/>
      <w:kern w:val="0"/>
      <w:szCs w:val="20"/>
    </w:rPr>
  </w:style>
  <w:style w:type="paragraph" w:customStyle="1" w:styleId="10">
    <w:name w:val="正文 New"/>
    <w:next w:val="9"/>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2023-09-26T07:27:00Z</dcterms:created>
  <dc:creator>罗华秋</dc:creator>
  <cp:lastModifiedBy>罗华秋</cp:lastModifiedBy>
  <dcterms:modified xsi:type="dcterms:W3CDTF">2023-09-26T07:29:01Z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5D8E3F7F980D402BA5FC52A25BCF645D_11</vt:lpwstr>
  </property>
</Properties>
</file>