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8B0CE">
      <w:p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始兴县马市镇人民政府农村环卫保洁服务项目</w:t>
      </w:r>
    </w:p>
    <w:p w14:paraId="41BE5D79">
      <w:p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采购需求及审核意见</w:t>
      </w:r>
    </w:p>
    <w:p w14:paraId="346A9746">
      <w:pPr>
        <w:numPr>
          <w:ilvl w:val="0"/>
          <w:numId w:val="0"/>
        </w:numPr>
        <w:spacing w:line="240" w:lineRule="auto"/>
        <w:rPr>
          <w:rFonts w:hint="eastAsia" w:ascii="宋体" w:hAnsi="宋体" w:eastAsia="宋体" w:cs="宋体"/>
          <w:b w:val="0"/>
          <w:bCs w:val="0"/>
          <w:color w:val="auto"/>
          <w:sz w:val="21"/>
          <w:szCs w:val="21"/>
          <w:lang w:val="en-US" w:eastAsia="zh-CN"/>
        </w:rPr>
      </w:pPr>
    </w:p>
    <w:p w14:paraId="6E9CF920">
      <w:pPr>
        <w:numPr>
          <w:ilvl w:val="0"/>
          <w:numId w:val="1"/>
        </w:numPr>
        <w:spacing w:line="240" w:lineRule="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bCs/>
          <w:color w:val="auto"/>
          <w:sz w:val="21"/>
          <w:szCs w:val="21"/>
          <w:lang w:val="en-US" w:eastAsia="zh-CN"/>
        </w:rPr>
        <w:t>采购项目需求及其他要求</w:t>
      </w:r>
    </w:p>
    <w:p w14:paraId="37CE0885">
      <w:pPr>
        <w:pStyle w:val="7"/>
        <w:numPr>
          <w:ilvl w:val="0"/>
          <w:numId w:val="0"/>
        </w:numPr>
        <w:spacing w:line="240" w:lineRule="auto"/>
        <w:ind w:left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tbl>
      <w:tblPr>
        <w:tblStyle w:val="8"/>
        <w:tblW w:w="4998" w:type="pct"/>
        <w:jc w:val="center"/>
        <w:tblLayout w:type="autofit"/>
        <w:tblCellMar>
          <w:top w:w="0" w:type="dxa"/>
          <w:left w:w="0" w:type="dxa"/>
          <w:bottom w:w="0" w:type="dxa"/>
          <w:right w:w="0" w:type="dxa"/>
        </w:tblCellMar>
      </w:tblPr>
      <w:tblGrid>
        <w:gridCol w:w="665"/>
        <w:gridCol w:w="1789"/>
        <w:gridCol w:w="996"/>
        <w:gridCol w:w="1568"/>
        <w:gridCol w:w="1636"/>
        <w:gridCol w:w="1679"/>
      </w:tblGrid>
      <w:tr w14:paraId="0C6682D2">
        <w:tblPrEx>
          <w:tblCellMar>
            <w:top w:w="0" w:type="dxa"/>
            <w:left w:w="0" w:type="dxa"/>
            <w:bottom w:w="0" w:type="dxa"/>
            <w:right w:w="0" w:type="dxa"/>
          </w:tblCellMar>
        </w:tblPrEx>
        <w:trPr>
          <w:trHeight w:val="9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87770E3">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rPr>
            </w:pPr>
            <w:r>
              <w:rPr>
                <w:rFonts w:hint="eastAsia" w:ascii="宋体" w:hAnsi="宋体" w:eastAsia="宋体" w:cs="宋体"/>
                <w:b w:val="0"/>
                <w:bCs w:val="0"/>
                <w:i w:val="0"/>
                <w:color w:val="auto"/>
                <w:kern w:val="0"/>
                <w:sz w:val="21"/>
                <w:szCs w:val="21"/>
                <w:u w:val="none"/>
                <w:lang w:val="en-US" w:eastAsia="zh-CN" w:bidi="ar"/>
              </w:rPr>
              <w:t>序号</w:t>
            </w:r>
          </w:p>
        </w:tc>
        <w:tc>
          <w:tcPr>
            <w:tcW w:w="10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4B7F518">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rPr>
            </w:pPr>
            <w:r>
              <w:rPr>
                <w:rFonts w:hint="eastAsia" w:ascii="宋体" w:hAnsi="宋体" w:eastAsia="宋体" w:cs="宋体"/>
                <w:b w:val="0"/>
                <w:bCs w:val="0"/>
                <w:i w:val="0"/>
                <w:color w:val="auto"/>
                <w:kern w:val="0"/>
                <w:sz w:val="21"/>
                <w:szCs w:val="21"/>
                <w:u w:val="none"/>
                <w:lang w:val="en-US" w:eastAsia="zh-CN" w:bidi="ar"/>
              </w:rPr>
              <w:t>采购内容</w:t>
            </w:r>
          </w:p>
        </w:tc>
        <w:tc>
          <w:tcPr>
            <w:tcW w:w="59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04DE4AF">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数量</w:t>
            </w:r>
          </w:p>
        </w:tc>
        <w:tc>
          <w:tcPr>
            <w:tcW w:w="94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EB4CF72">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服务要求</w:t>
            </w:r>
          </w:p>
        </w:tc>
        <w:tc>
          <w:tcPr>
            <w:tcW w:w="98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C4534A0">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服务期</w:t>
            </w:r>
          </w:p>
        </w:tc>
        <w:tc>
          <w:tcPr>
            <w:tcW w:w="10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1239B98">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预算金额</w:t>
            </w:r>
          </w:p>
        </w:tc>
      </w:tr>
      <w:tr w14:paraId="7F68482B">
        <w:tblPrEx>
          <w:tblCellMar>
            <w:top w:w="0" w:type="dxa"/>
            <w:left w:w="0" w:type="dxa"/>
            <w:bottom w:w="0" w:type="dxa"/>
            <w:right w:w="0" w:type="dxa"/>
          </w:tblCellMar>
        </w:tblPrEx>
        <w:trPr>
          <w:trHeight w:val="27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06ADB0">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10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F4909EE">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始兴县马市镇人民政府农村环卫保洁服务项目</w:t>
            </w:r>
          </w:p>
        </w:tc>
        <w:tc>
          <w:tcPr>
            <w:tcW w:w="59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ED1651E">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i w:val="0"/>
                <w:color w:val="auto"/>
                <w:sz w:val="21"/>
                <w:szCs w:val="21"/>
                <w:u w:val="none"/>
                <w:lang w:val="en-US" w:eastAsia="zh-CN"/>
              </w:rPr>
              <w:t>7</w:t>
            </w:r>
            <w:r>
              <w:rPr>
                <w:rFonts w:hint="eastAsia" w:ascii="宋体" w:hAnsi="宋体" w:eastAsia="宋体" w:cs="宋体"/>
                <w:b w:val="0"/>
                <w:bCs w:val="0"/>
                <w:i w:val="0"/>
                <w:color w:val="auto"/>
                <w:sz w:val="21"/>
                <w:szCs w:val="21"/>
                <w:u w:val="none"/>
                <w:lang w:val="en-US" w:eastAsia="zh-CN"/>
              </w:rPr>
              <w:t>项</w:t>
            </w:r>
          </w:p>
        </w:tc>
        <w:tc>
          <w:tcPr>
            <w:tcW w:w="94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A992533">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详见</w:t>
            </w:r>
            <w:r>
              <w:rPr>
                <w:rFonts w:hint="eastAsia" w:ascii="宋体" w:hAnsi="宋体" w:eastAsia="宋体" w:cs="宋体"/>
                <w:b w:val="0"/>
                <w:bCs w:val="0"/>
                <w:color w:val="auto"/>
                <w:sz w:val="21"/>
                <w:szCs w:val="21"/>
                <w:lang w:val="en-US" w:eastAsia="zh-CN"/>
              </w:rPr>
              <w:t>本项目服务要求</w:t>
            </w:r>
          </w:p>
        </w:tc>
        <w:tc>
          <w:tcPr>
            <w:tcW w:w="98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32330E4">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2025年2月至2025年12月</w:t>
            </w:r>
          </w:p>
        </w:tc>
        <w:tc>
          <w:tcPr>
            <w:tcW w:w="10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6296D55">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color w:val="auto"/>
                <w:kern w:val="16"/>
                <w:sz w:val="21"/>
                <w:szCs w:val="21"/>
                <w:lang w:val="en-US" w:eastAsia="zh-CN"/>
              </w:rPr>
              <w:t>¥85000.00/月</w:t>
            </w:r>
          </w:p>
        </w:tc>
      </w:tr>
    </w:tbl>
    <w:p w14:paraId="3EA0FC8C">
      <w:pPr>
        <w:pStyle w:val="12"/>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2、</w:t>
      </w:r>
      <w:r>
        <w:rPr>
          <w:rFonts w:hint="eastAsia" w:ascii="宋体" w:hAnsi="宋体" w:eastAsia="宋体" w:cs="宋体"/>
          <w:b/>
          <w:bCs/>
          <w:color w:val="auto"/>
          <w:sz w:val="21"/>
          <w:szCs w:val="21"/>
          <w:lang w:val="en-US" w:eastAsia="zh-CN"/>
        </w:rPr>
        <w:t>采购标的</w:t>
      </w:r>
      <w:r>
        <w:rPr>
          <w:rFonts w:hint="eastAsia" w:ascii="宋体" w:hAnsi="宋体" w:cs="宋体"/>
          <w:b/>
          <w:bCs/>
          <w:color w:val="auto"/>
          <w:sz w:val="21"/>
          <w:szCs w:val="21"/>
          <w:lang w:val="en-US" w:eastAsia="zh-CN"/>
        </w:rPr>
        <w:t>需求</w:t>
      </w:r>
      <w:r>
        <w:rPr>
          <w:rFonts w:hint="eastAsia" w:ascii="宋体" w:hAnsi="宋体" w:eastAsia="宋体" w:cs="宋体"/>
          <w:b/>
          <w:bCs/>
          <w:color w:val="auto"/>
          <w:sz w:val="21"/>
          <w:szCs w:val="21"/>
          <w:lang w:val="en-US" w:eastAsia="zh-CN"/>
        </w:rPr>
        <w:t>清单</w:t>
      </w:r>
    </w:p>
    <w:tbl>
      <w:tblPr>
        <w:tblStyle w:val="8"/>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78"/>
        <w:gridCol w:w="1934"/>
        <w:gridCol w:w="1830"/>
        <w:gridCol w:w="1830"/>
        <w:gridCol w:w="1747"/>
      </w:tblGrid>
      <w:tr w14:paraId="62A24E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691" w:type="pct"/>
            <w:tcBorders>
              <w:tl2br w:val="nil"/>
              <w:tr2bl w:val="nil"/>
            </w:tcBorders>
            <w:noWrap w:val="0"/>
            <w:vAlign w:val="center"/>
          </w:tcPr>
          <w:p w14:paraId="0CD59D27">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135" w:type="pct"/>
            <w:tcBorders>
              <w:tl2br w:val="nil"/>
              <w:tr2bl w:val="nil"/>
            </w:tcBorders>
            <w:noWrap w:val="0"/>
            <w:vAlign w:val="center"/>
          </w:tcPr>
          <w:p w14:paraId="3923016D">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bidi="ar"/>
              </w:rPr>
              <w:t>项目</w:t>
            </w:r>
          </w:p>
        </w:tc>
        <w:tc>
          <w:tcPr>
            <w:tcW w:w="1074" w:type="pct"/>
            <w:tcBorders>
              <w:tl2br w:val="nil"/>
              <w:tr2bl w:val="nil"/>
            </w:tcBorders>
            <w:noWrap w:val="0"/>
            <w:vAlign w:val="center"/>
          </w:tcPr>
          <w:p w14:paraId="66017CEF">
            <w:pPr>
              <w:keepNext w:val="0"/>
              <w:keepLines w:val="0"/>
              <w:widowControl/>
              <w:suppressLineNumbers w:val="0"/>
              <w:spacing w:line="360" w:lineRule="auto"/>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color w:val="auto"/>
                <w:sz w:val="21"/>
                <w:szCs w:val="21"/>
                <w:lang w:val="en-US" w:eastAsia="zh-CN"/>
              </w:rPr>
              <w:t>数量</w:t>
            </w:r>
          </w:p>
        </w:tc>
        <w:tc>
          <w:tcPr>
            <w:tcW w:w="1074" w:type="pct"/>
            <w:tcBorders>
              <w:tl2br w:val="nil"/>
              <w:tr2bl w:val="nil"/>
            </w:tcBorders>
            <w:noWrap w:val="0"/>
            <w:vAlign w:val="center"/>
          </w:tcPr>
          <w:p w14:paraId="35D66CDD">
            <w:pPr>
              <w:keepNext w:val="0"/>
              <w:keepLines w:val="0"/>
              <w:widowControl/>
              <w:suppressLineNumbers w:val="0"/>
              <w:spacing w:line="360" w:lineRule="auto"/>
              <w:jc w:val="center"/>
              <w:textAlignment w:val="center"/>
              <w:rPr>
                <w:rFonts w:hint="eastAsia" w:ascii="宋体" w:hAnsi="宋体" w:cs="宋体"/>
                <w:b/>
                <w:bCs/>
                <w:color w:val="auto"/>
                <w:sz w:val="21"/>
                <w:szCs w:val="21"/>
                <w:lang w:val="en-US" w:eastAsia="zh-CN"/>
              </w:rPr>
            </w:pPr>
            <w:r>
              <w:rPr>
                <w:rFonts w:hint="eastAsia" w:ascii="宋体" w:hAnsi="宋体" w:eastAsia="宋体" w:cs="宋体"/>
                <w:b/>
                <w:bCs/>
                <w:color w:val="auto"/>
                <w:sz w:val="21"/>
                <w:szCs w:val="21"/>
                <w:lang w:val="en-US" w:eastAsia="zh-CN"/>
              </w:rPr>
              <w:t>单价</w:t>
            </w:r>
            <w:r>
              <w:rPr>
                <w:rFonts w:hint="eastAsia" w:ascii="宋体" w:hAnsi="宋体" w:cs="宋体"/>
                <w:b/>
                <w:bCs/>
                <w:color w:val="auto"/>
                <w:sz w:val="21"/>
                <w:szCs w:val="21"/>
                <w:lang w:val="en-US" w:eastAsia="zh-CN"/>
              </w:rPr>
              <w:t>最高限价</w:t>
            </w:r>
          </w:p>
          <w:p w14:paraId="713A620B">
            <w:pPr>
              <w:keepNext w:val="0"/>
              <w:keepLines w:val="0"/>
              <w:widowControl/>
              <w:suppressLineNumbers w:val="0"/>
              <w:spacing w:line="360" w:lineRule="auto"/>
              <w:jc w:val="center"/>
              <w:textAlignment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（元/月）</w:t>
            </w:r>
          </w:p>
        </w:tc>
        <w:tc>
          <w:tcPr>
            <w:tcW w:w="1025" w:type="pct"/>
            <w:tcBorders>
              <w:tl2br w:val="nil"/>
              <w:tr2bl w:val="nil"/>
            </w:tcBorders>
            <w:noWrap w:val="0"/>
            <w:vAlign w:val="center"/>
          </w:tcPr>
          <w:p w14:paraId="6EC42B63">
            <w:pPr>
              <w:keepNext w:val="0"/>
              <w:keepLines w:val="0"/>
              <w:widowControl/>
              <w:suppressLineNumbers w:val="0"/>
              <w:spacing w:line="360" w:lineRule="auto"/>
              <w:jc w:val="center"/>
              <w:textAlignment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总价</w:t>
            </w:r>
            <w:r>
              <w:rPr>
                <w:rFonts w:hint="eastAsia" w:ascii="宋体" w:hAnsi="宋体" w:cs="宋体"/>
                <w:b/>
                <w:bCs/>
                <w:color w:val="auto"/>
                <w:sz w:val="21"/>
                <w:szCs w:val="21"/>
                <w:lang w:val="en-US" w:eastAsia="zh-CN"/>
              </w:rPr>
              <w:t>最高限价</w:t>
            </w:r>
            <w:r>
              <w:rPr>
                <w:rFonts w:hint="eastAsia" w:ascii="宋体" w:hAnsi="宋体" w:eastAsia="宋体" w:cs="宋体"/>
                <w:b/>
                <w:bCs/>
                <w:color w:val="auto"/>
                <w:sz w:val="21"/>
                <w:szCs w:val="21"/>
                <w:lang w:val="en-US" w:eastAsia="zh-CN"/>
              </w:rPr>
              <w:t>（元/月）</w:t>
            </w:r>
          </w:p>
        </w:tc>
      </w:tr>
      <w:tr w14:paraId="514DD9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6" w:hRule="atLeast"/>
          <w:jc w:val="center"/>
        </w:trPr>
        <w:tc>
          <w:tcPr>
            <w:tcW w:w="691" w:type="pct"/>
            <w:tcBorders>
              <w:tl2br w:val="nil"/>
              <w:tr2bl w:val="nil"/>
            </w:tcBorders>
            <w:noWrap w:val="0"/>
            <w:vAlign w:val="center"/>
          </w:tcPr>
          <w:p w14:paraId="77838EA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35" w:type="pct"/>
            <w:tcBorders>
              <w:tl2br w:val="nil"/>
              <w:tr2bl w:val="nil"/>
            </w:tcBorders>
            <w:noWrap w:val="0"/>
            <w:vAlign w:val="center"/>
          </w:tcPr>
          <w:p w14:paraId="6CCEF235">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各村固定人员工资</w:t>
            </w:r>
          </w:p>
        </w:tc>
        <w:tc>
          <w:tcPr>
            <w:tcW w:w="1074" w:type="pct"/>
            <w:tcBorders>
              <w:tl2br w:val="nil"/>
              <w:tr2bl w:val="nil"/>
            </w:tcBorders>
            <w:noWrap w:val="0"/>
            <w:vAlign w:val="center"/>
          </w:tcPr>
          <w:p w14:paraId="1C484EAE">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41人</w:t>
            </w:r>
          </w:p>
        </w:tc>
        <w:tc>
          <w:tcPr>
            <w:tcW w:w="1074" w:type="pct"/>
            <w:tcBorders>
              <w:tl2br w:val="nil"/>
              <w:tr2bl w:val="nil"/>
            </w:tcBorders>
            <w:noWrap w:val="0"/>
            <w:vAlign w:val="center"/>
          </w:tcPr>
          <w:p w14:paraId="23A7E65E">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1000.00</w:t>
            </w:r>
          </w:p>
        </w:tc>
        <w:tc>
          <w:tcPr>
            <w:tcW w:w="1025" w:type="pct"/>
            <w:tcBorders>
              <w:tl2br w:val="nil"/>
              <w:tr2bl w:val="nil"/>
            </w:tcBorders>
            <w:noWrap w:val="0"/>
            <w:vAlign w:val="center"/>
          </w:tcPr>
          <w:p w14:paraId="172F13D7">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41000.00</w:t>
            </w:r>
          </w:p>
        </w:tc>
      </w:tr>
      <w:tr w14:paraId="383BC5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70" w:hRule="atLeast"/>
          <w:jc w:val="center"/>
        </w:trPr>
        <w:tc>
          <w:tcPr>
            <w:tcW w:w="691" w:type="pct"/>
            <w:tcBorders>
              <w:tl2br w:val="nil"/>
              <w:tr2bl w:val="nil"/>
            </w:tcBorders>
            <w:noWrap w:val="0"/>
            <w:vAlign w:val="center"/>
          </w:tcPr>
          <w:p w14:paraId="7FE6C5E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135" w:type="pct"/>
            <w:tcBorders>
              <w:tl2br w:val="nil"/>
              <w:tr2bl w:val="nil"/>
            </w:tcBorders>
            <w:noWrap w:val="0"/>
            <w:vAlign w:val="center"/>
          </w:tcPr>
          <w:p w14:paraId="42548C84">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机动人员工资</w:t>
            </w:r>
          </w:p>
        </w:tc>
        <w:tc>
          <w:tcPr>
            <w:tcW w:w="1074" w:type="pct"/>
            <w:tcBorders>
              <w:tl2br w:val="nil"/>
              <w:tr2bl w:val="nil"/>
            </w:tcBorders>
            <w:noWrap w:val="0"/>
            <w:vAlign w:val="center"/>
          </w:tcPr>
          <w:p w14:paraId="60B39314">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8人</w:t>
            </w:r>
          </w:p>
        </w:tc>
        <w:tc>
          <w:tcPr>
            <w:tcW w:w="1074" w:type="pct"/>
            <w:tcBorders>
              <w:tl2br w:val="nil"/>
              <w:tr2bl w:val="nil"/>
            </w:tcBorders>
            <w:noWrap w:val="0"/>
            <w:vAlign w:val="center"/>
          </w:tcPr>
          <w:p w14:paraId="4C142609">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2500.00</w:t>
            </w:r>
          </w:p>
        </w:tc>
        <w:tc>
          <w:tcPr>
            <w:tcW w:w="1025" w:type="pct"/>
            <w:tcBorders>
              <w:tl2br w:val="nil"/>
              <w:tr2bl w:val="nil"/>
            </w:tcBorders>
            <w:noWrap w:val="0"/>
            <w:vAlign w:val="center"/>
          </w:tcPr>
          <w:p w14:paraId="25EFC7A0">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20000.00</w:t>
            </w:r>
          </w:p>
        </w:tc>
      </w:tr>
      <w:tr w14:paraId="37750D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1" w:hRule="atLeast"/>
          <w:jc w:val="center"/>
        </w:trPr>
        <w:tc>
          <w:tcPr>
            <w:tcW w:w="691" w:type="pct"/>
            <w:tcBorders>
              <w:tl2br w:val="nil"/>
              <w:tr2bl w:val="nil"/>
            </w:tcBorders>
            <w:noWrap w:val="0"/>
            <w:vAlign w:val="center"/>
          </w:tcPr>
          <w:p w14:paraId="4ED0D47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135" w:type="pct"/>
            <w:tcBorders>
              <w:tl2br w:val="nil"/>
              <w:tr2bl w:val="nil"/>
            </w:tcBorders>
            <w:noWrap w:val="0"/>
            <w:vAlign w:val="center"/>
          </w:tcPr>
          <w:p w14:paraId="7E1C79D9">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车辆运转</w:t>
            </w:r>
          </w:p>
        </w:tc>
        <w:tc>
          <w:tcPr>
            <w:tcW w:w="1074" w:type="pct"/>
            <w:tcBorders>
              <w:tl2br w:val="nil"/>
              <w:tr2bl w:val="nil"/>
            </w:tcBorders>
            <w:noWrap w:val="0"/>
            <w:vAlign w:val="center"/>
          </w:tcPr>
          <w:p w14:paraId="0D14E21E">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3台</w:t>
            </w:r>
          </w:p>
        </w:tc>
        <w:tc>
          <w:tcPr>
            <w:tcW w:w="1074" w:type="pct"/>
            <w:tcBorders>
              <w:tl2br w:val="nil"/>
              <w:tr2bl w:val="nil"/>
            </w:tcBorders>
            <w:noWrap w:val="0"/>
            <w:vAlign w:val="center"/>
          </w:tcPr>
          <w:p w14:paraId="640DEF89">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3000.00</w:t>
            </w:r>
          </w:p>
        </w:tc>
        <w:tc>
          <w:tcPr>
            <w:tcW w:w="1025" w:type="pct"/>
            <w:tcBorders>
              <w:tl2br w:val="nil"/>
              <w:tr2bl w:val="nil"/>
            </w:tcBorders>
            <w:noWrap w:val="0"/>
            <w:vAlign w:val="center"/>
          </w:tcPr>
          <w:p w14:paraId="5D0238BF">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9000.00</w:t>
            </w:r>
          </w:p>
        </w:tc>
      </w:tr>
      <w:tr w14:paraId="7E5389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691" w:type="pct"/>
            <w:tcBorders>
              <w:tl2br w:val="nil"/>
              <w:tr2bl w:val="nil"/>
            </w:tcBorders>
            <w:noWrap w:val="0"/>
            <w:vAlign w:val="center"/>
          </w:tcPr>
          <w:p w14:paraId="5A6DB07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135" w:type="pct"/>
            <w:tcBorders>
              <w:tl2br w:val="nil"/>
              <w:tr2bl w:val="nil"/>
            </w:tcBorders>
            <w:noWrap w:val="0"/>
            <w:vAlign w:val="center"/>
          </w:tcPr>
          <w:p w14:paraId="1605C870">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司机工资</w:t>
            </w:r>
          </w:p>
        </w:tc>
        <w:tc>
          <w:tcPr>
            <w:tcW w:w="1074" w:type="pct"/>
            <w:tcBorders>
              <w:tl2br w:val="nil"/>
              <w:tr2bl w:val="nil"/>
            </w:tcBorders>
            <w:noWrap w:val="0"/>
            <w:vAlign w:val="center"/>
          </w:tcPr>
          <w:p w14:paraId="071F513A">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3人</w:t>
            </w:r>
          </w:p>
        </w:tc>
        <w:tc>
          <w:tcPr>
            <w:tcW w:w="1074" w:type="pct"/>
            <w:tcBorders>
              <w:tl2br w:val="nil"/>
              <w:tr2bl w:val="nil"/>
            </w:tcBorders>
            <w:noWrap w:val="0"/>
            <w:vAlign w:val="center"/>
          </w:tcPr>
          <w:p w14:paraId="7777BF7C">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3500.00</w:t>
            </w:r>
          </w:p>
        </w:tc>
        <w:tc>
          <w:tcPr>
            <w:tcW w:w="1025" w:type="pct"/>
            <w:tcBorders>
              <w:tl2br w:val="nil"/>
              <w:tr2bl w:val="nil"/>
            </w:tcBorders>
            <w:noWrap w:val="0"/>
            <w:vAlign w:val="center"/>
          </w:tcPr>
          <w:p w14:paraId="5DF57087">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10500.00</w:t>
            </w:r>
          </w:p>
        </w:tc>
      </w:tr>
      <w:tr w14:paraId="39E4A2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11" w:hRule="atLeast"/>
          <w:jc w:val="center"/>
        </w:trPr>
        <w:tc>
          <w:tcPr>
            <w:tcW w:w="691" w:type="pct"/>
            <w:tcBorders>
              <w:tl2br w:val="nil"/>
              <w:tr2bl w:val="nil"/>
            </w:tcBorders>
            <w:noWrap w:val="0"/>
            <w:vAlign w:val="center"/>
          </w:tcPr>
          <w:p w14:paraId="4DD9784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135" w:type="pct"/>
            <w:tcBorders>
              <w:tl2br w:val="nil"/>
              <w:tr2bl w:val="nil"/>
            </w:tcBorders>
            <w:noWrap w:val="0"/>
            <w:vAlign w:val="center"/>
          </w:tcPr>
          <w:p w14:paraId="3B4E6F81">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购买保险</w:t>
            </w:r>
          </w:p>
        </w:tc>
        <w:tc>
          <w:tcPr>
            <w:tcW w:w="1074" w:type="pct"/>
            <w:tcBorders>
              <w:tl2br w:val="nil"/>
              <w:tr2bl w:val="nil"/>
            </w:tcBorders>
            <w:noWrap w:val="0"/>
            <w:vAlign w:val="center"/>
          </w:tcPr>
          <w:p w14:paraId="5E627CD1">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52人</w:t>
            </w:r>
          </w:p>
        </w:tc>
        <w:tc>
          <w:tcPr>
            <w:tcW w:w="1074" w:type="pct"/>
            <w:tcBorders>
              <w:tl2br w:val="nil"/>
              <w:tr2bl w:val="nil"/>
            </w:tcBorders>
            <w:noWrap w:val="0"/>
            <w:vAlign w:val="center"/>
          </w:tcPr>
          <w:p w14:paraId="219E5978">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30.00</w:t>
            </w:r>
          </w:p>
        </w:tc>
        <w:tc>
          <w:tcPr>
            <w:tcW w:w="1025" w:type="pct"/>
            <w:tcBorders>
              <w:tl2br w:val="nil"/>
              <w:tr2bl w:val="nil"/>
            </w:tcBorders>
            <w:noWrap w:val="0"/>
            <w:vAlign w:val="center"/>
          </w:tcPr>
          <w:p w14:paraId="50C23CBF">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1560.00</w:t>
            </w:r>
          </w:p>
        </w:tc>
      </w:tr>
      <w:tr w14:paraId="0E675F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81" w:hRule="atLeast"/>
          <w:jc w:val="center"/>
        </w:trPr>
        <w:tc>
          <w:tcPr>
            <w:tcW w:w="691" w:type="pct"/>
            <w:tcBorders>
              <w:tl2br w:val="nil"/>
              <w:tr2bl w:val="nil"/>
            </w:tcBorders>
            <w:noWrap w:val="0"/>
            <w:vAlign w:val="center"/>
          </w:tcPr>
          <w:p w14:paraId="65E11E1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135" w:type="pct"/>
            <w:tcBorders>
              <w:tl2br w:val="nil"/>
              <w:tr2bl w:val="nil"/>
            </w:tcBorders>
            <w:noWrap w:val="0"/>
            <w:vAlign w:val="center"/>
          </w:tcPr>
          <w:p w14:paraId="43451ADF">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工具损耗</w:t>
            </w:r>
          </w:p>
        </w:tc>
        <w:tc>
          <w:tcPr>
            <w:tcW w:w="2148" w:type="pct"/>
            <w:gridSpan w:val="2"/>
            <w:tcBorders>
              <w:tl2br w:val="nil"/>
              <w:tr2bl w:val="nil"/>
            </w:tcBorders>
            <w:noWrap w:val="0"/>
            <w:vAlign w:val="center"/>
          </w:tcPr>
          <w:p w14:paraId="37BB9BBF">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025" w:type="pct"/>
            <w:tcBorders>
              <w:tl2br w:val="nil"/>
              <w:tr2bl w:val="nil"/>
            </w:tcBorders>
            <w:noWrap w:val="0"/>
            <w:vAlign w:val="center"/>
          </w:tcPr>
          <w:p w14:paraId="08147EBF">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1940.00</w:t>
            </w:r>
          </w:p>
        </w:tc>
      </w:tr>
      <w:tr w14:paraId="509B73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91" w:type="pct"/>
            <w:tcBorders>
              <w:tl2br w:val="nil"/>
              <w:tr2bl w:val="nil"/>
            </w:tcBorders>
            <w:noWrap w:val="0"/>
            <w:vAlign w:val="center"/>
          </w:tcPr>
          <w:p w14:paraId="004A0B3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135" w:type="pct"/>
            <w:tcBorders>
              <w:tl2br w:val="nil"/>
              <w:tr2bl w:val="nil"/>
            </w:tcBorders>
            <w:noWrap w:val="0"/>
            <w:vAlign w:val="center"/>
          </w:tcPr>
          <w:p w14:paraId="392ACC44">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税费</w:t>
            </w:r>
          </w:p>
        </w:tc>
        <w:tc>
          <w:tcPr>
            <w:tcW w:w="2148" w:type="pct"/>
            <w:gridSpan w:val="2"/>
            <w:tcBorders>
              <w:tl2br w:val="nil"/>
              <w:tr2bl w:val="nil"/>
            </w:tcBorders>
            <w:noWrap w:val="0"/>
            <w:vAlign w:val="center"/>
          </w:tcPr>
          <w:p w14:paraId="1BD6CBEC">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025" w:type="pct"/>
            <w:tcBorders>
              <w:tl2br w:val="nil"/>
              <w:tr2bl w:val="nil"/>
            </w:tcBorders>
            <w:noWrap w:val="0"/>
            <w:vAlign w:val="center"/>
          </w:tcPr>
          <w:p w14:paraId="39A724B7">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1000.00</w:t>
            </w:r>
          </w:p>
        </w:tc>
      </w:tr>
      <w:tr w14:paraId="0A2E92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826" w:type="pct"/>
            <w:gridSpan w:val="2"/>
            <w:tcBorders>
              <w:tl2br w:val="nil"/>
              <w:tr2bl w:val="nil"/>
            </w:tcBorders>
            <w:noWrap w:val="0"/>
            <w:vAlign w:val="center"/>
          </w:tcPr>
          <w:p w14:paraId="64F8F801">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合计</w:t>
            </w:r>
          </w:p>
        </w:tc>
        <w:tc>
          <w:tcPr>
            <w:tcW w:w="3173" w:type="pct"/>
            <w:gridSpan w:val="3"/>
            <w:tcBorders>
              <w:tl2br w:val="nil"/>
              <w:tr2bl w:val="nil"/>
            </w:tcBorders>
            <w:noWrap w:val="0"/>
            <w:vAlign w:val="center"/>
          </w:tcPr>
          <w:p w14:paraId="50DBC4F7">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b w:val="0"/>
                <w:bCs w:val="0"/>
                <w:color w:val="auto"/>
                <w:kern w:val="16"/>
                <w:sz w:val="21"/>
                <w:szCs w:val="21"/>
                <w:lang w:val="en-US" w:eastAsia="zh-CN"/>
              </w:rPr>
              <w:t>¥85000/月</w:t>
            </w:r>
          </w:p>
        </w:tc>
      </w:tr>
    </w:tbl>
    <w:p w14:paraId="211480F0">
      <w:pPr>
        <w:spacing w:line="240" w:lineRule="auto"/>
        <w:ind w:firstLine="420" w:firstLineChars="200"/>
        <w:jc w:val="left"/>
        <w:rPr>
          <w:rFonts w:hint="eastAsia" w:ascii="宋体" w:hAnsi="宋体" w:eastAsia="宋体" w:cs="宋体"/>
          <w:b w:val="0"/>
          <w:bCs w:val="0"/>
          <w:color w:val="auto"/>
          <w:sz w:val="21"/>
          <w:szCs w:val="21"/>
          <w:lang w:val="en-US" w:eastAsia="zh-CN"/>
        </w:rPr>
      </w:pPr>
    </w:p>
    <w:p w14:paraId="3844434A">
      <w:pPr>
        <w:spacing w:line="240" w:lineRule="auto"/>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注：1、报价超出预算金额</w:t>
      </w:r>
      <w:r>
        <w:rPr>
          <w:rFonts w:hint="eastAsia" w:ascii="宋体" w:hAnsi="宋体" w:cs="宋体"/>
          <w:b w:val="0"/>
          <w:bCs w:val="0"/>
          <w:color w:val="auto"/>
          <w:sz w:val="21"/>
          <w:szCs w:val="21"/>
          <w:lang w:val="en-US" w:eastAsia="zh-CN"/>
        </w:rPr>
        <w:t>、单价最高限价、总价最高限价</w:t>
      </w:r>
      <w:r>
        <w:rPr>
          <w:rFonts w:hint="eastAsia" w:ascii="宋体" w:hAnsi="宋体" w:eastAsia="宋体" w:cs="宋体"/>
          <w:b w:val="0"/>
          <w:bCs w:val="0"/>
          <w:color w:val="auto"/>
          <w:sz w:val="21"/>
          <w:szCs w:val="21"/>
          <w:lang w:val="en-US" w:eastAsia="zh-CN"/>
        </w:rPr>
        <w:t>的列为无效响应处理。</w:t>
      </w:r>
    </w:p>
    <w:p w14:paraId="620A45F3">
      <w:pPr>
        <w:spacing w:line="240" w:lineRule="auto"/>
        <w:ind w:firstLine="420" w:firstLineChars="200"/>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2、供应商必须对本项目的全部内容进行报价，如有缺漏，将导致无效响应。</w:t>
      </w:r>
    </w:p>
    <w:p w14:paraId="170D660E">
      <w:pPr>
        <w:spacing w:line="240" w:lineRule="auto"/>
        <w:ind w:firstLine="420" w:firstLineChars="200"/>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3、响应报价应为人民币含税全包价，包括购置、运输保险、人员保险、车辆保险、特殊作业附加保险、装卸、培训辅导、质保期售后服务、全额含税发票、雇员费用、合同实施过程中应预见和不可预见费用等。</w:t>
      </w:r>
    </w:p>
    <w:p w14:paraId="34D4F045">
      <w:pPr>
        <w:spacing w:line="240" w:lineRule="auto"/>
        <w:ind w:firstLine="420" w:firstLineChars="200"/>
        <w:jc w:val="center"/>
        <w:rPr>
          <w:rFonts w:hint="eastAsia" w:ascii="宋体" w:hAnsi="宋体" w:eastAsia="宋体" w:cs="宋体"/>
          <w:b w:val="0"/>
          <w:bCs w:val="0"/>
          <w:color w:val="auto"/>
          <w:sz w:val="21"/>
          <w:szCs w:val="21"/>
          <w:lang w:val="en-US" w:eastAsia="zh-CN"/>
        </w:rPr>
      </w:pPr>
    </w:p>
    <w:p w14:paraId="7F4441F8">
      <w:pPr>
        <w:numPr>
          <w:ilvl w:val="0"/>
          <w:numId w:val="0"/>
        </w:numPr>
        <w:spacing w:line="240" w:lineRule="auto"/>
        <w:rPr>
          <w:rFonts w:hint="eastAsia" w:ascii="宋体" w:hAnsi="宋体" w:eastAsia="宋体" w:cs="宋体"/>
          <w:b/>
          <w:bCs/>
          <w:color w:val="auto"/>
          <w:sz w:val="21"/>
          <w:szCs w:val="21"/>
          <w:lang w:val="en-US" w:eastAsia="zh-CN"/>
        </w:rPr>
      </w:pPr>
      <w:bookmarkStart w:id="0" w:name="_Toc6349"/>
      <w:r>
        <w:rPr>
          <w:rFonts w:hint="eastAsia" w:ascii="宋体" w:hAnsi="宋体" w:eastAsia="宋体" w:cs="宋体"/>
          <w:b/>
          <w:bCs/>
          <w:color w:val="auto"/>
          <w:sz w:val="21"/>
          <w:szCs w:val="21"/>
          <w:lang w:val="en-US" w:eastAsia="zh-CN"/>
        </w:rPr>
        <w:t>3、服务要求</w:t>
      </w:r>
      <w:bookmarkEnd w:id="0"/>
    </w:p>
    <w:p w14:paraId="01CBBDD8">
      <w:pPr>
        <w:pStyle w:val="7"/>
        <w:numPr>
          <w:ilvl w:val="0"/>
          <w:numId w:val="0"/>
        </w:numPr>
        <w:spacing w:line="240" w:lineRule="auto"/>
        <w:ind w:left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服务范围：马市镇18个行政村（不含社区）（即远迳村、堂阁村、都塘村、柴塘村、陂田村、安水村、红梨村、涝洲水村、高水村、黄田村、联俄村、赤谷村、陆源村、侯陂村、坜坪村、溪丰村、文路村、岭头村）</w:t>
      </w:r>
    </w:p>
    <w:p w14:paraId="3A74C4CB">
      <w:pPr>
        <w:pStyle w:val="7"/>
        <w:numPr>
          <w:ilvl w:val="0"/>
          <w:numId w:val="0"/>
        </w:numPr>
        <w:spacing w:line="240" w:lineRule="auto"/>
        <w:ind w:left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（2）服务内容：按保洁质量要求每天对马市镇18个行政村（不含社区）进行规范农村清扫保洁质量管理。</w:t>
      </w:r>
    </w:p>
    <w:p w14:paraId="1EAB8667">
      <w:pPr>
        <w:pStyle w:val="7"/>
        <w:numPr>
          <w:ilvl w:val="0"/>
          <w:numId w:val="0"/>
        </w:numPr>
        <w:spacing w:line="240" w:lineRule="auto"/>
        <w:ind w:left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（3）监督考核：采购人按照监督考核要求对成交供应商进行考核。</w:t>
      </w:r>
    </w:p>
    <w:p w14:paraId="057FB967">
      <w:pPr>
        <w:pStyle w:val="7"/>
        <w:numPr>
          <w:ilvl w:val="0"/>
          <w:numId w:val="0"/>
        </w:numPr>
        <w:spacing w:line="240" w:lineRule="auto"/>
        <w:ind w:left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（4）履约保证金：成交供应商须在签订合同前向采购人缴纳人民币85000.00元作为项目履约保证金。可以选用转账、银行保函、保险三种形式非现金形式缴纳。</w:t>
      </w:r>
    </w:p>
    <w:p w14:paraId="0E326313">
      <w:pPr>
        <w:pStyle w:val="7"/>
        <w:numPr>
          <w:ilvl w:val="0"/>
          <w:numId w:val="0"/>
        </w:numPr>
        <w:spacing w:line="240" w:lineRule="auto"/>
        <w:ind w:left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 xml:space="preserve">     开户银行名称：始兴县马市镇人民政府</w:t>
      </w:r>
    </w:p>
    <w:p w14:paraId="6CEFC5D5">
      <w:pPr>
        <w:pStyle w:val="7"/>
        <w:numPr>
          <w:ilvl w:val="0"/>
          <w:numId w:val="0"/>
        </w:numPr>
        <w:spacing w:line="240" w:lineRule="auto"/>
        <w:ind w:left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 xml:space="preserve">     开户行：广东始兴农村商业银行股份有限公司马市支行</w:t>
      </w:r>
    </w:p>
    <w:p w14:paraId="4B5CE2C0">
      <w:pPr>
        <w:pStyle w:val="7"/>
        <w:numPr>
          <w:ilvl w:val="0"/>
          <w:numId w:val="0"/>
        </w:numPr>
        <w:spacing w:line="240" w:lineRule="auto"/>
        <w:ind w:leftChars="0"/>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 xml:space="preserve">     银行账号信息：80020000001772818</w:t>
      </w:r>
    </w:p>
    <w:p w14:paraId="60BB7BD6">
      <w:pPr>
        <w:pStyle w:val="7"/>
        <w:numPr>
          <w:ilvl w:val="0"/>
          <w:numId w:val="0"/>
        </w:numPr>
        <w:spacing w:line="240" w:lineRule="auto"/>
        <w:ind w:leftChars="0"/>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 xml:space="preserve">     </w:t>
      </w:r>
    </w:p>
    <w:p w14:paraId="20C15FD6">
      <w:pPr>
        <w:pStyle w:val="7"/>
        <w:numPr>
          <w:ilvl w:val="0"/>
          <w:numId w:val="0"/>
        </w:numPr>
        <w:spacing w:line="240" w:lineRule="auto"/>
        <w:jc w:val="both"/>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 xml:space="preserve">     </w:t>
      </w:r>
    </w:p>
    <w:p w14:paraId="3E92646E">
      <w:pPr>
        <w:pStyle w:val="7"/>
        <w:numPr>
          <w:ilvl w:val="0"/>
          <w:numId w:val="0"/>
        </w:numPr>
        <w:spacing w:line="240" w:lineRule="auto"/>
        <w:jc w:val="both"/>
        <w:rPr>
          <w:rFonts w:hint="eastAsia" w:ascii="宋体" w:hAnsi="宋体" w:eastAsia="宋体" w:cs="宋体"/>
          <w:b/>
          <w:bCs/>
          <w:color w:val="auto"/>
          <w:kern w:val="2"/>
          <w:sz w:val="21"/>
          <w:szCs w:val="21"/>
          <w:lang w:val="en-US" w:eastAsia="zh-CN" w:bidi="ar-SA"/>
        </w:rPr>
      </w:pPr>
    </w:p>
    <w:p w14:paraId="09D36E5A">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4、保洁质量要求</w:t>
      </w:r>
    </w:p>
    <w:p w14:paraId="72A555F6">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4.1、道路保洁</w:t>
      </w:r>
    </w:p>
    <w:p w14:paraId="21001B7C">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（1）</w:t>
      </w:r>
      <w:r>
        <w:rPr>
          <w:rFonts w:hint="eastAsia" w:ascii="宋体" w:hAnsi="宋体" w:eastAsia="宋体" w:cs="宋体"/>
          <w:b w:val="0"/>
          <w:bCs w:val="0"/>
          <w:color w:val="auto"/>
          <w:sz w:val="21"/>
          <w:szCs w:val="21"/>
          <w:lang w:val="en-US" w:eastAsia="zh-CN"/>
        </w:rPr>
        <w:t>道路保洁范围为巷道，涵盖路面、路肩、雨水口等区域。  </w:t>
      </w:r>
    </w:p>
    <w:p w14:paraId="77AC3904">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（2）</w:t>
      </w:r>
      <w:r>
        <w:rPr>
          <w:rFonts w:hint="eastAsia" w:ascii="宋体" w:hAnsi="宋体" w:eastAsia="宋体" w:cs="宋体"/>
          <w:b w:val="0"/>
          <w:bCs w:val="0"/>
          <w:color w:val="auto"/>
          <w:sz w:val="21"/>
          <w:szCs w:val="21"/>
          <w:lang w:val="en-US" w:eastAsia="zh-CN"/>
        </w:rPr>
        <w:t xml:space="preserve">采取巡回保洁的方式，每日进行全范围清扫工作。 </w:t>
      </w:r>
    </w:p>
    <w:p w14:paraId="15EB8EA2">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（3）</w:t>
      </w:r>
      <w:r>
        <w:rPr>
          <w:rFonts w:hint="eastAsia" w:ascii="宋体" w:hAnsi="宋体" w:eastAsia="宋体" w:cs="宋体"/>
          <w:b w:val="0"/>
          <w:bCs w:val="0"/>
          <w:color w:val="auto"/>
          <w:sz w:val="21"/>
          <w:szCs w:val="21"/>
          <w:lang w:val="en-US" w:eastAsia="zh-CN"/>
        </w:rPr>
        <w:t>道路保洁应做到无堆积物，无沙石泥土，无垃圾，无动物尸体和粪便，无积水，保持路面净、边角净、路肩净。 </w:t>
      </w:r>
    </w:p>
    <w:p w14:paraId="107FC585">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（4）</w:t>
      </w:r>
      <w:r>
        <w:rPr>
          <w:rFonts w:hint="eastAsia" w:ascii="宋体" w:hAnsi="宋体" w:eastAsia="宋体" w:cs="宋体"/>
          <w:b w:val="0"/>
          <w:bCs w:val="0"/>
          <w:color w:val="auto"/>
          <w:sz w:val="21"/>
          <w:szCs w:val="21"/>
          <w:lang w:val="en-US" w:eastAsia="zh-CN"/>
        </w:rPr>
        <w:t>道路公共设施，如交通护栏、广告牌、路牌等应及时清洁，做到无乱贴乱画，无明显污渍。</w:t>
      </w:r>
    </w:p>
    <w:p w14:paraId="19E870F1">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4.2、公厕保洁</w:t>
      </w:r>
    </w:p>
    <w:p w14:paraId="27F007D9">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（1）</w:t>
      </w:r>
      <w:r>
        <w:rPr>
          <w:rFonts w:hint="eastAsia" w:ascii="宋体" w:hAnsi="宋体" w:eastAsia="宋体" w:cs="宋体"/>
          <w:b w:val="0"/>
          <w:bCs w:val="0"/>
          <w:color w:val="auto"/>
          <w:sz w:val="21"/>
          <w:szCs w:val="21"/>
          <w:lang w:val="en-US" w:eastAsia="zh-CN"/>
        </w:rPr>
        <w:t>公厕内部保洁每日不少于1次，保持公厕照明和通风良好。  </w:t>
      </w:r>
    </w:p>
    <w:p w14:paraId="60A68C45">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（2）</w:t>
      </w:r>
      <w:r>
        <w:rPr>
          <w:rFonts w:hint="eastAsia" w:ascii="宋体" w:hAnsi="宋体" w:eastAsia="宋体" w:cs="宋体"/>
          <w:b w:val="0"/>
          <w:bCs w:val="0"/>
          <w:color w:val="auto"/>
          <w:sz w:val="21"/>
          <w:szCs w:val="21"/>
          <w:lang w:val="en-US" w:eastAsia="zh-CN"/>
        </w:rPr>
        <w:t>应做到地面无积水、痰迹和垃圾；便池内无积尿积粪，无粪迹尿垢；化粪池、贮粪池、贮尿池内积存的粪液、尿液应及时清运，不得外溢。  </w:t>
      </w:r>
    </w:p>
    <w:p w14:paraId="0C666CF5">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（3）</w:t>
      </w:r>
      <w:r>
        <w:rPr>
          <w:rFonts w:hint="eastAsia" w:ascii="宋体" w:hAnsi="宋体" w:eastAsia="宋体" w:cs="宋体"/>
          <w:b w:val="0"/>
          <w:bCs w:val="0"/>
          <w:color w:val="auto"/>
          <w:sz w:val="21"/>
          <w:szCs w:val="21"/>
          <w:lang w:val="en-US" w:eastAsia="zh-CN"/>
        </w:rPr>
        <w:t>公厕内无蝇，化粪池和贮粪池周围无蝇蛆孳生。  </w:t>
      </w:r>
    </w:p>
    <w:p w14:paraId="042B0151">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（4）</w:t>
      </w:r>
      <w:r>
        <w:rPr>
          <w:rFonts w:hint="eastAsia" w:ascii="宋体" w:hAnsi="宋体" w:eastAsia="宋体" w:cs="宋体"/>
          <w:b w:val="0"/>
          <w:bCs w:val="0"/>
          <w:color w:val="auto"/>
          <w:sz w:val="21"/>
          <w:szCs w:val="21"/>
          <w:lang w:val="en-US" w:eastAsia="zh-CN"/>
        </w:rPr>
        <w:t>墙壁、顶棚、门窗、灯具、洗手池应保持整洁。</w:t>
      </w:r>
    </w:p>
    <w:p w14:paraId="6227221F">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4.3、公共水域保洁</w:t>
      </w:r>
    </w:p>
    <w:p w14:paraId="512684E1">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（1）</w:t>
      </w:r>
      <w:r>
        <w:rPr>
          <w:rFonts w:hint="eastAsia" w:ascii="宋体" w:hAnsi="宋体" w:eastAsia="宋体" w:cs="宋体"/>
          <w:b w:val="0"/>
          <w:bCs w:val="0"/>
          <w:color w:val="auto"/>
          <w:sz w:val="21"/>
          <w:szCs w:val="21"/>
          <w:lang w:val="en-US" w:eastAsia="zh-CN"/>
        </w:rPr>
        <w:t>公共河道、沟渠堰塘、湖泊等水域应保持清洁，水流畅通，无黑臭，无漂浮垃圾，无有害浮游植物。  </w:t>
      </w:r>
    </w:p>
    <w:p w14:paraId="46848207">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（2）</w:t>
      </w:r>
      <w:r>
        <w:rPr>
          <w:rFonts w:hint="eastAsia" w:ascii="宋体" w:hAnsi="宋体" w:eastAsia="宋体" w:cs="宋体"/>
          <w:b w:val="0"/>
          <w:bCs w:val="0"/>
          <w:color w:val="auto"/>
          <w:sz w:val="21"/>
          <w:szCs w:val="21"/>
          <w:lang w:val="en-US" w:eastAsia="zh-CN"/>
        </w:rPr>
        <w:t>及时清捞河道、涝池中的水生植物。  </w:t>
      </w:r>
    </w:p>
    <w:p w14:paraId="393CBDA7">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（3）</w:t>
      </w:r>
      <w:r>
        <w:rPr>
          <w:rFonts w:hint="eastAsia" w:ascii="宋体" w:hAnsi="宋体" w:eastAsia="宋体" w:cs="宋体"/>
          <w:b w:val="0"/>
          <w:bCs w:val="0"/>
          <w:color w:val="auto"/>
          <w:sz w:val="21"/>
          <w:szCs w:val="21"/>
          <w:lang w:val="en-US" w:eastAsia="zh-CN"/>
        </w:rPr>
        <w:t>及时清理河堤护坡各类垃圾、渣土等，保持干净整洁。</w:t>
      </w:r>
    </w:p>
    <w:p w14:paraId="5D232681">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4.4、公共设施保洁 </w:t>
      </w:r>
    </w:p>
    <w:p w14:paraId="7573479E">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（1）</w:t>
      </w:r>
      <w:r>
        <w:rPr>
          <w:rFonts w:hint="eastAsia" w:ascii="宋体" w:hAnsi="宋体" w:eastAsia="宋体" w:cs="宋体"/>
          <w:b w:val="0"/>
          <w:bCs w:val="0"/>
          <w:color w:val="auto"/>
          <w:sz w:val="21"/>
          <w:szCs w:val="21"/>
          <w:lang w:val="en-US" w:eastAsia="zh-CN"/>
        </w:rPr>
        <w:t>对电线杆、灯杆、桥栏等杆体栏体进行清洁，及时清除乱贴乱画和污渍。 </w:t>
      </w:r>
    </w:p>
    <w:p w14:paraId="453C1552">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（2）</w:t>
      </w:r>
      <w:r>
        <w:rPr>
          <w:rFonts w:hint="eastAsia" w:ascii="宋体" w:hAnsi="宋体" w:eastAsia="宋体" w:cs="宋体"/>
          <w:b w:val="0"/>
          <w:bCs w:val="0"/>
          <w:color w:val="auto"/>
          <w:sz w:val="21"/>
          <w:szCs w:val="21"/>
          <w:lang w:val="en-US" w:eastAsia="zh-CN"/>
        </w:rPr>
        <w:t>对宣传展板进行管护，保持展板整洁，字迹图示清晰，无污损。</w:t>
      </w:r>
    </w:p>
    <w:p w14:paraId="1E05EF70">
      <w:pPr>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（3）</w:t>
      </w:r>
      <w:r>
        <w:rPr>
          <w:rFonts w:hint="eastAsia" w:ascii="宋体" w:hAnsi="宋体" w:eastAsia="宋体" w:cs="宋体"/>
          <w:b w:val="0"/>
          <w:bCs w:val="0"/>
          <w:color w:val="auto"/>
          <w:sz w:val="21"/>
          <w:szCs w:val="21"/>
          <w:lang w:val="en-US" w:eastAsia="zh-CN"/>
        </w:rPr>
        <w:t>公共健身、休闲场地和设施应保持清洁卫生。</w:t>
      </w:r>
    </w:p>
    <w:p w14:paraId="23E49497">
      <w:pPr>
        <w:numPr>
          <w:ilvl w:val="0"/>
          <w:numId w:val="0"/>
        </w:numPr>
        <w:spacing w:line="240" w:lineRule="auto"/>
        <w:ind w:leftChars="0"/>
        <w:rPr>
          <w:rFonts w:hint="eastAsia" w:ascii="宋体" w:hAnsi="宋体" w:eastAsia="宋体" w:cs="宋体"/>
          <w:b w:val="0"/>
          <w:bCs w:val="0"/>
          <w:color w:val="auto"/>
          <w:sz w:val="21"/>
          <w:szCs w:val="21"/>
          <w:lang w:val="en-US" w:eastAsia="zh-CN"/>
        </w:rPr>
      </w:pPr>
    </w:p>
    <w:p w14:paraId="7678DA46">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5、监督考核要求</w:t>
      </w:r>
    </w:p>
    <w:p w14:paraId="32D3CFB9">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5.1、村级监督：各村每日进行督查考核，落实属地责任，由各村委会自行组织相关人员对成交供应商的保洁工作进行考核。</w:t>
      </w:r>
    </w:p>
    <w:p w14:paraId="1BF41865">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（1）</w:t>
      </w:r>
      <w:r>
        <w:rPr>
          <w:rFonts w:hint="eastAsia" w:ascii="宋体" w:hAnsi="宋体" w:eastAsia="宋体" w:cs="宋体"/>
          <w:b w:val="0"/>
          <w:bCs w:val="0"/>
          <w:color w:val="auto"/>
          <w:sz w:val="21"/>
          <w:szCs w:val="21"/>
          <w:lang w:val="en-US" w:eastAsia="zh-CN"/>
        </w:rPr>
        <w:t>考核中发现问题即时通知成交供应商限期整改，并拍照存档（使用带水印相片），自发现起两小时以内仍未处理的拍照存档（使用带水印相片）或者成交供应商未在两小时以内反馈整改处理相片的，再按考核评分标准扣分。</w:t>
      </w:r>
    </w:p>
    <w:p w14:paraId="01CC29D3">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kern w:val="2"/>
          <w:sz w:val="21"/>
          <w:szCs w:val="21"/>
          <w:lang w:val="en-US" w:eastAsia="zh-CN" w:bidi="ar-SA"/>
        </w:rPr>
        <w:t>（2）成交供应商</w:t>
      </w:r>
      <w:r>
        <w:rPr>
          <w:rFonts w:hint="eastAsia" w:ascii="宋体" w:hAnsi="宋体" w:eastAsia="宋体" w:cs="宋体"/>
          <w:b w:val="0"/>
          <w:bCs w:val="0"/>
          <w:color w:val="auto"/>
          <w:sz w:val="21"/>
          <w:szCs w:val="21"/>
          <w:lang w:val="en-US" w:eastAsia="zh-CN"/>
        </w:rPr>
        <w:t>对存在的问题逾期不改或整改不力的，按考核评分标准加倍扣分。</w:t>
      </w:r>
    </w:p>
    <w:p w14:paraId="550F25CA">
      <w:pPr>
        <w:numPr>
          <w:ilvl w:val="0"/>
          <w:numId w:val="0"/>
        </w:numPr>
        <w:spacing w:line="240" w:lineRule="auto"/>
        <w:rPr>
          <w:rFonts w:hint="eastAsia" w:ascii="宋体" w:hAnsi="宋体" w:eastAsia="宋体" w:cs="宋体"/>
          <w:b w:val="0"/>
          <w:bCs w:val="0"/>
          <w:color w:val="auto"/>
          <w:sz w:val="21"/>
          <w:szCs w:val="21"/>
          <w:lang w:val="en-US" w:eastAsia="zh-CN"/>
        </w:rPr>
      </w:pPr>
    </w:p>
    <w:p w14:paraId="37945B5E">
      <w:pPr>
        <w:numPr>
          <w:ilvl w:val="0"/>
          <w:numId w:val="0"/>
        </w:numPr>
        <w:spacing w:line="240" w:lineRule="auto"/>
        <w:ind w:firstLine="210" w:firstLine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5.2、镇级监督：镇乡村振兴办公室采取现场实地抽查方式对各村上报的月度考核结果视情况进行抽查复核，被抽查复核村的月度考核结果以复核结果为准。每月随机抽查考核5次以上，检查中发现问题即时通知成交供应商限期整改，成交供应商对存在的问题逾期不改或整改不力的，按考核标准扣分。成交供应商需在每日工作前在工作群上传全体工作人员合照，遇恶劣天气除外，工作人员每个自然月休假时间为四天，如有特殊情况则另行安排。</w:t>
      </w:r>
    </w:p>
    <w:p w14:paraId="63C75523">
      <w:pPr>
        <w:numPr>
          <w:ilvl w:val="0"/>
          <w:numId w:val="0"/>
        </w:numPr>
        <w:spacing w:line="240" w:lineRule="auto"/>
        <w:ind w:firstLine="210" w:firstLineChars="100"/>
        <w:rPr>
          <w:rFonts w:hint="eastAsia" w:ascii="宋体" w:hAnsi="宋体" w:eastAsia="宋体" w:cs="宋体"/>
          <w:b w:val="0"/>
          <w:bCs w:val="0"/>
          <w:color w:val="auto"/>
          <w:sz w:val="21"/>
          <w:szCs w:val="21"/>
          <w:lang w:val="en-US" w:eastAsia="zh-CN"/>
        </w:rPr>
      </w:pPr>
    </w:p>
    <w:p w14:paraId="6D9ECE48">
      <w:pPr>
        <w:numPr>
          <w:ilvl w:val="0"/>
          <w:numId w:val="0"/>
        </w:numPr>
        <w:spacing w:line="240" w:lineRule="auto"/>
        <w:ind w:firstLine="210" w:firstLine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5.3、考核结果的运用</w:t>
      </w:r>
    </w:p>
    <w:p w14:paraId="14E682D9">
      <w:pPr>
        <w:numPr>
          <w:ilvl w:val="0"/>
          <w:numId w:val="0"/>
        </w:numPr>
        <w:spacing w:line="240" w:lineRule="auto"/>
        <w:ind w:firstLine="210" w:firstLine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（1）各村考核计分（占考核总分比重60%）。每月考核实行100分制，根据《马市镇农村环卫保洁质量考核评分细则》进行考核评分，每扣1分则扣罚成交供应商当月服务费10元。</w:t>
      </w:r>
    </w:p>
    <w:p w14:paraId="5433B89D">
      <w:pPr>
        <w:numPr>
          <w:ilvl w:val="0"/>
          <w:numId w:val="0"/>
        </w:numPr>
        <w:spacing w:line="240" w:lineRule="auto"/>
        <w:ind w:firstLine="210" w:firstLine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（2）镇乡村振兴办公室考核计分（占考核总分比重40%）。每月考核实行100分制，根据《马市镇农村环卫保洁质量考核评分细则》进行考核评分，每扣1分则扣罚成交供应商当月服务费20元。</w:t>
      </w:r>
    </w:p>
    <w:p w14:paraId="5F68CB63">
      <w:pPr>
        <w:numPr>
          <w:ilvl w:val="0"/>
          <w:numId w:val="0"/>
        </w:numPr>
        <w:spacing w:line="240" w:lineRule="auto"/>
        <w:ind w:firstLine="210" w:firstLine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（3）考核总分60分（不含60分）以下为不合格。一年内出现三次考核总分低于60分的（不含60分），终止与成交供应商的合作。</w:t>
      </w:r>
    </w:p>
    <w:p w14:paraId="39BF8945">
      <w:pPr>
        <w:numPr>
          <w:ilvl w:val="0"/>
          <w:numId w:val="0"/>
        </w:numPr>
        <w:spacing w:line="240" w:lineRule="auto"/>
        <w:ind w:firstLine="210" w:firstLine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w:t>
      </w:r>
    </w:p>
    <w:p w14:paraId="1C3E3BF4">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5.4、《马市镇农村环卫保洁质量考核评分细则》</w:t>
      </w:r>
    </w:p>
    <w:tbl>
      <w:tblPr>
        <w:tblStyle w:val="16"/>
        <w:tblW w:w="9352" w:type="dxa"/>
        <w:tblInd w:w="-2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7"/>
        <w:gridCol w:w="7425"/>
      </w:tblGrid>
      <w:tr w14:paraId="1C28B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3" w:hRule="atLeast"/>
        </w:trPr>
        <w:tc>
          <w:tcPr>
            <w:tcW w:w="1927" w:type="dxa"/>
            <w:tcBorders>
              <w:top w:val="single" w:color="auto" w:sz="4" w:space="0"/>
              <w:left w:val="single" w:color="auto" w:sz="4" w:space="0"/>
              <w:bottom w:val="single" w:color="auto" w:sz="4" w:space="0"/>
            </w:tcBorders>
            <w:noWrap w:val="0"/>
            <w:vAlign w:val="center"/>
          </w:tcPr>
          <w:p w14:paraId="5AD7591B">
            <w:pPr>
              <w:numPr>
                <w:ilvl w:val="0"/>
                <w:numId w:val="0"/>
              </w:num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项目</w:t>
            </w:r>
          </w:p>
        </w:tc>
        <w:tc>
          <w:tcPr>
            <w:tcW w:w="7425" w:type="dxa"/>
            <w:tcBorders>
              <w:left w:val="single" w:color="auto" w:sz="4" w:space="0"/>
            </w:tcBorders>
            <w:noWrap w:val="0"/>
            <w:vAlign w:val="center"/>
          </w:tcPr>
          <w:p w14:paraId="6B2F3385">
            <w:pPr>
              <w:numPr>
                <w:ilvl w:val="0"/>
                <w:numId w:val="0"/>
              </w:num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扣分标准</w:t>
            </w:r>
          </w:p>
        </w:tc>
      </w:tr>
      <w:tr w14:paraId="156A1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1927" w:type="dxa"/>
            <w:vMerge w:val="restart"/>
            <w:tcBorders>
              <w:top w:val="single" w:color="auto" w:sz="4" w:space="0"/>
              <w:left w:val="single" w:color="auto" w:sz="4" w:space="0"/>
              <w:bottom w:val="single" w:color="auto" w:sz="4" w:space="0"/>
            </w:tcBorders>
            <w:noWrap w:val="0"/>
            <w:vAlign w:val="center"/>
          </w:tcPr>
          <w:p w14:paraId="3CA47B6F">
            <w:pPr>
              <w:numPr>
                <w:ilvl w:val="0"/>
                <w:numId w:val="0"/>
              </w:numPr>
              <w:spacing w:line="240" w:lineRule="auto"/>
              <w:jc w:val="center"/>
              <w:rPr>
                <w:rFonts w:hint="eastAsia" w:ascii="宋体" w:hAnsi="宋体" w:eastAsia="宋体" w:cs="宋体"/>
                <w:b w:val="0"/>
                <w:bCs w:val="0"/>
                <w:color w:val="auto"/>
                <w:sz w:val="21"/>
                <w:szCs w:val="21"/>
                <w:lang w:val="en-US" w:eastAsia="zh-CN"/>
              </w:rPr>
            </w:pPr>
          </w:p>
          <w:p w14:paraId="0F96E905">
            <w:pPr>
              <w:numPr>
                <w:ilvl w:val="0"/>
                <w:numId w:val="0"/>
              </w:num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道路保洁</w:t>
            </w:r>
          </w:p>
        </w:tc>
        <w:tc>
          <w:tcPr>
            <w:tcW w:w="7425" w:type="dxa"/>
            <w:tcBorders>
              <w:top w:val="single" w:color="auto" w:sz="4" w:space="0"/>
              <w:right w:val="single" w:color="auto" w:sz="4" w:space="0"/>
            </w:tcBorders>
            <w:noWrap w:val="0"/>
            <w:vAlign w:val="center"/>
          </w:tcPr>
          <w:p w14:paraId="5AF57016">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清扫保洁不及时，道路及周边可视范围内有散落垃圾、成堆垃圾、泥沙或者污渍，每处扣 1分。</w:t>
            </w:r>
          </w:p>
        </w:tc>
      </w:tr>
      <w:tr w14:paraId="30544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927" w:type="dxa"/>
            <w:vMerge w:val="continue"/>
            <w:tcBorders>
              <w:top w:val="single" w:color="auto" w:sz="4" w:space="0"/>
              <w:left w:val="single" w:color="auto" w:sz="4" w:space="0"/>
              <w:bottom w:val="single" w:color="auto" w:sz="4" w:space="0"/>
            </w:tcBorders>
            <w:noWrap w:val="0"/>
            <w:vAlign w:val="center"/>
          </w:tcPr>
          <w:p w14:paraId="73F3E9BE">
            <w:pPr>
              <w:numPr>
                <w:ilvl w:val="0"/>
                <w:numId w:val="0"/>
              </w:numPr>
              <w:spacing w:line="240" w:lineRule="auto"/>
              <w:jc w:val="center"/>
              <w:rPr>
                <w:rFonts w:hint="eastAsia" w:ascii="宋体" w:hAnsi="宋体" w:eastAsia="宋体" w:cs="宋体"/>
                <w:b w:val="0"/>
                <w:bCs w:val="0"/>
                <w:color w:val="auto"/>
                <w:sz w:val="21"/>
                <w:szCs w:val="21"/>
                <w:lang w:val="en-US" w:eastAsia="zh-CN"/>
              </w:rPr>
            </w:pPr>
          </w:p>
        </w:tc>
        <w:tc>
          <w:tcPr>
            <w:tcW w:w="7425" w:type="dxa"/>
            <w:tcBorders>
              <w:right w:val="single" w:color="auto" w:sz="4" w:space="0"/>
            </w:tcBorders>
            <w:noWrap w:val="0"/>
            <w:vAlign w:val="center"/>
          </w:tcPr>
          <w:p w14:paraId="0D209A02">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道路公共设施有乱贴乱画和污渍，每处扣一分</w:t>
            </w:r>
          </w:p>
        </w:tc>
      </w:tr>
      <w:tr w14:paraId="11992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927" w:type="dxa"/>
            <w:vMerge w:val="restart"/>
            <w:tcBorders>
              <w:top w:val="single" w:color="auto" w:sz="4" w:space="0"/>
              <w:bottom w:val="single" w:color="auto" w:sz="4" w:space="0"/>
            </w:tcBorders>
            <w:noWrap w:val="0"/>
            <w:vAlign w:val="center"/>
          </w:tcPr>
          <w:p w14:paraId="64DADCAF">
            <w:pPr>
              <w:numPr>
                <w:ilvl w:val="0"/>
                <w:numId w:val="0"/>
              </w:num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公厕保洁</w:t>
            </w:r>
          </w:p>
        </w:tc>
        <w:tc>
          <w:tcPr>
            <w:tcW w:w="7425" w:type="dxa"/>
            <w:tcBorders>
              <w:top w:val="single" w:color="auto" w:sz="4" w:space="0"/>
            </w:tcBorders>
            <w:noWrap w:val="0"/>
            <w:vAlign w:val="center"/>
          </w:tcPr>
          <w:p w14:paraId="2694764C">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地面湿滑有污物，便器、洗手台冲刷不及时，有粪迹、尿迹和其他垃圾杂物，每处扣 1分。</w:t>
            </w:r>
          </w:p>
        </w:tc>
      </w:tr>
      <w:tr w14:paraId="441C0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927" w:type="dxa"/>
            <w:vMerge w:val="continue"/>
            <w:noWrap w:val="0"/>
            <w:vAlign w:val="center"/>
          </w:tcPr>
          <w:p w14:paraId="7008E2B0">
            <w:pPr>
              <w:numPr>
                <w:ilvl w:val="0"/>
                <w:numId w:val="0"/>
              </w:numPr>
              <w:spacing w:line="240" w:lineRule="auto"/>
              <w:jc w:val="center"/>
              <w:rPr>
                <w:rFonts w:hint="eastAsia" w:ascii="宋体" w:hAnsi="宋体" w:eastAsia="宋体" w:cs="宋体"/>
                <w:b w:val="0"/>
                <w:bCs w:val="0"/>
                <w:color w:val="auto"/>
                <w:sz w:val="21"/>
                <w:szCs w:val="21"/>
                <w:lang w:val="en-US" w:eastAsia="zh-CN"/>
              </w:rPr>
            </w:pPr>
          </w:p>
        </w:tc>
        <w:tc>
          <w:tcPr>
            <w:tcW w:w="7425" w:type="dxa"/>
            <w:tcBorders>
              <w:top w:val="single" w:color="auto" w:sz="4" w:space="0"/>
            </w:tcBorders>
            <w:noWrap w:val="0"/>
            <w:vAlign w:val="center"/>
          </w:tcPr>
          <w:p w14:paraId="252032F7">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有蛛网、窗格积尘，每处扣1分。</w:t>
            </w:r>
          </w:p>
        </w:tc>
      </w:tr>
      <w:tr w14:paraId="1FF9C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927" w:type="dxa"/>
            <w:vMerge w:val="continue"/>
            <w:tcBorders>
              <w:top w:val="single" w:color="auto" w:sz="4" w:space="0"/>
              <w:bottom w:val="single" w:color="auto" w:sz="4" w:space="0"/>
            </w:tcBorders>
            <w:noWrap w:val="0"/>
            <w:vAlign w:val="center"/>
          </w:tcPr>
          <w:p w14:paraId="79F16DD6">
            <w:pPr>
              <w:numPr>
                <w:ilvl w:val="0"/>
                <w:numId w:val="0"/>
              </w:numPr>
              <w:spacing w:line="240" w:lineRule="auto"/>
              <w:jc w:val="center"/>
              <w:rPr>
                <w:rFonts w:hint="eastAsia" w:ascii="宋体" w:hAnsi="宋体" w:eastAsia="宋体" w:cs="宋体"/>
                <w:b w:val="0"/>
                <w:bCs w:val="0"/>
                <w:color w:val="auto"/>
                <w:sz w:val="21"/>
                <w:szCs w:val="21"/>
                <w:lang w:val="en-US" w:eastAsia="zh-CN"/>
              </w:rPr>
            </w:pPr>
          </w:p>
        </w:tc>
        <w:tc>
          <w:tcPr>
            <w:tcW w:w="7425" w:type="dxa"/>
            <w:noWrap w:val="0"/>
            <w:vAlign w:val="center"/>
          </w:tcPr>
          <w:p w14:paraId="3933D0A2">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公厕内外墙壁、门窗、隔断板等有乱涂乱画污迹，周围有杂草，每处扣1 分。</w:t>
            </w:r>
          </w:p>
        </w:tc>
      </w:tr>
      <w:tr w14:paraId="24AF05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927" w:type="dxa"/>
            <w:tcBorders>
              <w:top w:val="single" w:color="auto" w:sz="4" w:space="0"/>
              <w:bottom w:val="single" w:color="auto" w:sz="4" w:space="0"/>
            </w:tcBorders>
            <w:noWrap w:val="0"/>
            <w:vAlign w:val="center"/>
          </w:tcPr>
          <w:p w14:paraId="30733782">
            <w:pPr>
              <w:numPr>
                <w:ilvl w:val="0"/>
                <w:numId w:val="0"/>
              </w:num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公共水域保洁</w:t>
            </w:r>
          </w:p>
        </w:tc>
        <w:tc>
          <w:tcPr>
            <w:tcW w:w="7425" w:type="dxa"/>
            <w:noWrap w:val="0"/>
            <w:vAlign w:val="center"/>
          </w:tcPr>
          <w:p w14:paraId="4A86FC23">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保洁水域有漂浮垃圾、动物尸体，河堤护坡渠沟有垃圾，每处扣 1分。</w:t>
            </w:r>
          </w:p>
        </w:tc>
      </w:tr>
      <w:tr w14:paraId="02CC8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927" w:type="dxa"/>
            <w:vMerge w:val="restart"/>
            <w:tcBorders>
              <w:top w:val="single" w:color="auto" w:sz="4" w:space="0"/>
            </w:tcBorders>
            <w:noWrap w:val="0"/>
            <w:vAlign w:val="center"/>
          </w:tcPr>
          <w:p w14:paraId="4002C37C">
            <w:pPr>
              <w:numPr>
                <w:ilvl w:val="0"/>
                <w:numId w:val="0"/>
              </w:num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公共设施保洁</w:t>
            </w:r>
          </w:p>
        </w:tc>
        <w:tc>
          <w:tcPr>
            <w:tcW w:w="7425" w:type="dxa"/>
            <w:noWrap w:val="0"/>
            <w:vAlign w:val="center"/>
          </w:tcPr>
          <w:p w14:paraId="65055F58">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杆体栏体、宣传展板有污渍，每处扣 1 分。</w:t>
            </w:r>
          </w:p>
        </w:tc>
      </w:tr>
      <w:tr w14:paraId="4B2D5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1927" w:type="dxa"/>
            <w:vMerge w:val="continue"/>
            <w:tcBorders>
              <w:bottom w:val="single" w:color="auto" w:sz="4" w:space="0"/>
            </w:tcBorders>
            <w:noWrap w:val="0"/>
            <w:vAlign w:val="center"/>
          </w:tcPr>
          <w:p w14:paraId="48D738A1">
            <w:pPr>
              <w:numPr>
                <w:ilvl w:val="0"/>
                <w:numId w:val="0"/>
              </w:numPr>
              <w:spacing w:line="240" w:lineRule="auto"/>
              <w:rPr>
                <w:rFonts w:hint="eastAsia" w:ascii="宋体" w:hAnsi="宋体" w:eastAsia="宋体" w:cs="宋体"/>
                <w:b w:val="0"/>
                <w:bCs w:val="0"/>
                <w:color w:val="auto"/>
                <w:sz w:val="21"/>
                <w:szCs w:val="21"/>
                <w:lang w:val="en-US" w:eastAsia="zh-CN"/>
              </w:rPr>
            </w:pPr>
          </w:p>
        </w:tc>
        <w:tc>
          <w:tcPr>
            <w:tcW w:w="7425" w:type="dxa"/>
            <w:noWrap w:val="0"/>
            <w:vAlign w:val="center"/>
          </w:tcPr>
          <w:p w14:paraId="520AABB3">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公共健身、休闲场地有垃圾，每处扣1分。</w:t>
            </w:r>
          </w:p>
        </w:tc>
      </w:tr>
    </w:tbl>
    <w:p w14:paraId="5B37D92D">
      <w:pPr>
        <w:numPr>
          <w:ilvl w:val="0"/>
          <w:numId w:val="0"/>
        </w:numPr>
        <w:spacing w:line="24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mc:AlternateContent>
          <mc:Choice Requires="wps">
            <w:drawing>
              <wp:anchor distT="0" distB="0" distL="114300" distR="114300" simplePos="0" relativeHeight="251659264" behindDoc="0" locked="0" layoutInCell="1" allowOverlap="1">
                <wp:simplePos x="0" y="0"/>
                <wp:positionH relativeFrom="column">
                  <wp:posOffset>6117590</wp:posOffset>
                </wp:positionH>
                <wp:positionV relativeFrom="paragraph">
                  <wp:posOffset>207645</wp:posOffset>
                </wp:positionV>
                <wp:extent cx="635" cy="635"/>
                <wp:effectExtent l="0" t="0" r="0" b="0"/>
                <wp:wrapNone/>
                <wp:docPr id="4" name="墨迹 4"/>
                <wp:cNvGraphicFramePr>
                  <a:graphicFrameLocks xmlns:a="http://schemas.openxmlformats.org/drawingml/2006/main" noGrp="1"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clr" r:id="rId5">
                          <w14:nvContentPartPr>
                            <w14:cNvPr id="4" name="墨迹 4"/>
                            <w14:cNvContentPartPr>
                              <a14:cpLocks xmlns:a14="http://schemas.microsoft.com/office/drawing/2010/main" noGrp="1" noChangeAspect="1"/>
                            </w14:cNvContentPartPr>
                          </w14:nvContentPartPr>
                          <w14:xfrm>
                            <a:off x="7190740" y="7577455"/>
                            <a:ext cx="635" cy="635"/>
                          </w14:xfrm>
                        </w14:contentPart>
                      </mc:Choice>
                    </mc:AlternateContent>
                  </a:graphicData>
                </a:graphic>
              </wp:anchor>
            </w:drawing>
          </mc:Choice>
          <mc:Fallback>
            <w:pict>
              <v:shape id="_x0000_s1026" o:spid="_x0000_s1026" o:spt="75" style="position:absolute;left:0pt;margin-left:481.7pt;margin-top:16.35pt;height:0.05pt;width:0.05pt;z-index:251659264;mso-width-relative:page;mso-height-relative:page;" coordsize="21600,21600" o:gfxdata="UEsDBAoAAAAAAIdO4kAAAAAAAAAAAAAAAAAEAAAAZHJzL1BLAwQUAAAACACHTuJAi8FrINkAAAAJ&#10;AQAADwAAAGRycy9kb3ducmV2LnhtbE2PTUsDMRCG74L/IYzgzSb9sLbrZosI7UGEYhXB23QzJov5&#10;WJK0Xf31pic9zjsP7zxTrwZn2ZFi6oKXMB4JYOTboDqvJby9rm8WwFJGr9AGTxK+KcGqubyosVLh&#10;5F/ouMualRKfKpRgcu4rzlNryGEahZ582X2G6DCXMWquIp5KubN8IsScO+x8uWCwp0dD7dfu4CQ8&#10;64/l9icO7xs04mG20Xa7frJSXl+NxT2wTEP+g+GsX9ShKU77cPAqMSthOZ/OCiphOrkDVoAS3ALb&#10;n4MF8Kbm/z9ofgFQSwMEFAAAAAgAh07iQNLNvhi/AQAA/AMAAA4AAABkcnMvZTJvRG9jLnhtbK1T&#10;QY7TMBTdI3EHy3uaZEinEDUdoalAI8HQBRzAOHZjTexvfbtN5zqsuAIrToM0x+AnaaadopEqxMay&#10;/Z3333v/ZX61sw3bKgwGXMmzScqZchIq49Yl//rl/as3nIUoXCUacKrk9yrwq8XLF/PWF+oCamgq&#10;hYxAXChaX/I6Rl8kSZC1siJMwCtHRQ1oRaQjrpMKRUvotkku0vQyaQErjyBVCHS7HIp8j4jnAILW&#10;RqolyI1VLg6oqBoRSVKojQ980bPVWsn4WeugImtKTkpjv1IT2n/r1mQxF8Uaha+N3FMQ51A40WSF&#10;cdT0EWopomAbNH9BWSMRAug4kWCTQUjvCKnI0hNvbtxdpyTL5QYLCS6S2pXAOLrfF/6lhW1IfvsJ&#10;KpqvbPA/m8+wMFXJ8abKDvTd9vogYIUHWbfbFbLufc6ZE5YY/f7+4+HXT5Z3wxnF355+LrK8kP4j&#10;yLswzi3Lz/NiP7vB8X5yzMEHpCxnRAGua+HW6l3wFJ7uilgkz9IYK8/J22m0XS5o0mxX8ln2Np3l&#10;FL572k9ns3w6HSKodpFJenD5esqZpGq3Oeo84IzdjrJA5J6k7vjcET/6aRd/AFBLAwQKAAAAAACH&#10;TuJAAAAAAAAAAAAAAAAACAAAAGRycy9pbmsvUEsDBBQAAAAIAIdO4kD86JL2wAEAACcEAAAQAAAA&#10;ZHJzL2luay9pbmsxLnhtbJ1TwW6jMBC9r9R/sNzDXjZgTEIDCumt0kqtVG1aaXskMAGrYEe2Kcnf&#10;rzHgRCrbQy/IzHjevPdmvLk/NTX6AKmY4CkOPIIR8FwUjJcpfn15WKwxUjrjRVYLDik+g8L325sf&#10;G8bfmzoxX2QQuOpPTZ3iSutj4vtd13ld6AlZ+pSQ0P/N358e8XasKuDAONOmpZpCueAaTroHS1iR&#10;4lyfiLtvsHeilTm4dB+R+eWGllkOD0I2mXaIVcY51IhnjeH9FyN9PpoDM31KkBi1hoEyjRrsz5e8&#10;fV3iW8XJ/zs/S3EEqRlcRA6UxsQZ5cO/ZTfQlKBE3fbOYPSR1a0hTNdeuIyWqyiKaRyES8c88Ge4&#10;f8Y2Mr6PPYociV4rGjNuNJOHmjVgFqY5ullpZZaqD++0tGtFCQ0XAV2Q1UuwSmiQUNLPYOo1bMKE&#10;t5etqhzWXl5mbjNO76CxY4WunHXEIysaU+fYtV9z1RWwstLfLs9FLcxijXO7PaxJRKyyYVPmOrKS&#10;CwnPZuyqleBqr/2wZc6dmadjNxCND+gPHFJ8a18PspVDwPpGAxqHHiEExXdrGvWnXz+NR4QM32kC&#10;FtB1NOS3/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eRi8nbgAAAAhAQAAGQAAAGRycy9fcmVscy9lMm9Eb2MueG1sLnJlbHOFz7FqxDAMBuC9&#10;0Hcw2hslHcpR4mQ5DrKWFG41jpKYxLKxnNJ7+3rswcENGoTQ90tt/+t39UNJXGANTVWDIrZhcrxo&#10;+B4vbydQkg1PZg9MGm4k0HevL+0X7SaXJVldFFUUFg1rzvETUexK3kgVInGZzCF5k0ubFozGbmYh&#10;fK/rD0z/DejuTDVMGtIwNaDGWyzJz+0wz87SOdjDE+cHEWgPycFf/V5QkxbKGhxvWKqpyqGAXYt3&#10;j3V/UEsDBBQAAAAIAIdO4kADFSnaBQEAAC0CAAATAAAAW0NvbnRlbnRfVHlwZXNdLnhtbJWRwU7D&#10;MBBE70j8g+UrSpz2gBBq0gMpR0CofIBlbxKr9trymtD+PU7aXhCl4uCDvTNvRuvVeu8sGyGS8Vjz&#10;RVlxBqi8NtjX/GP7XDxwRkmiltYj1PwAxNfN7c1qewhALLuRaj6kFB6FIDWAk1T6AJgnnY9OpnyN&#10;vQhS7WQPYllV90J5TICpSBODN6sWOvlpE9vs8/OxSQRLnD0dhVNWzWUI1iiZclMxov6RUpwSyuyc&#10;NTSYQHe5Bhe/JkyTywEn32teTTQa2JuM6UW6XEPoSEL7L4wwln9DppaOCt91RkHZRmqz7R3Gc6tL&#10;dFj61qv/wjez6xrb4E7ks7hCzxJnzywxf3bzDVBLAQIUABQAAAAIAIdO4kADFSnaBQEAAC0CAAAT&#10;AAAAAAAAAAEAIAAAAFwHAABbQ29udGVudF9UeXBlc10ueG1sUEsBAhQACgAAAAAAh07iQAAAAAAA&#10;AAAAAAAAAAYAAAAAAAAAAAAQAAAAJwUAAF9yZWxzL1BLAQIUABQAAAAIAIdO4kCKFGY80QAAAJQB&#10;AAALAAAAAAAAAAEAIAAAAEsFAABfcmVscy8ucmVsc1BLAQIUAAoAAAAAAIdO4kAAAAAAAAAAAAAA&#10;AAAEAAAAAAAAAAAAEAAAAAAAAABkcnMvUEsBAhQACgAAAAAAh07iQAAAAAAAAAAAAAAAAAoAAAAA&#10;AAAAAAAQAAAARQYAAGRycy9fcmVscy9QSwECFAAUAAAACACHTuJAeRi8nbgAAAAhAQAAGQAAAAAA&#10;AAABACAAAABtBgAAZHJzL19yZWxzL2Uyb0RvYy54bWwucmVsc1BLAQIUABQAAAAIAIdO4kCLwWsg&#10;2QAAAAkBAAAPAAAAAAAAAAEAIAAAACIAAABkcnMvZG93bnJldi54bWxQSwECFAAUAAAACACHTuJA&#10;0s2+GL8BAAD8AwAADgAAAAAAAAABACAAAAAoAQAAZHJzL2Uyb0RvYy54bWxQSwECFAAKAAAAAACH&#10;TuJAAAAAAAAAAAAAAAAACAAAAAAAAAAAABAAAAATAwAAZHJzL2luay9QSwECFAAUAAAACACHTuJA&#10;/OiS9sABAAAnBAAAEAAAAAAAAAABACAAAAA5AwAAZHJzL2luay9pbmsxLnhtbFBLBQYAAAAACgAK&#10;AEwCAACSCAAAAAA=&#10;">
                <v:imagedata r:id="rId6" o:title=""/>
                <o:lock v:ext="edit"/>
              </v:shape>
            </w:pict>
          </mc:Fallback>
        </mc:AlternateContent>
      </w:r>
      <w:r>
        <w:rPr>
          <w:rFonts w:hint="eastAsia" w:ascii="宋体" w:hAnsi="宋体" w:eastAsia="宋体" w:cs="宋体"/>
          <w:b w:val="0"/>
          <w:bCs w:val="0"/>
          <w:color w:val="auto"/>
          <w:sz w:val="21"/>
          <w:szCs w:val="21"/>
          <w:lang w:val="en-US" w:eastAsia="zh-CN"/>
        </w:rPr>
        <w:t>备注：成交供应商对存在的问题逾期不改或整改不力的，按考核评分标准加倍扣分。</w:t>
      </w:r>
    </w:p>
    <w:p w14:paraId="73BA97C8">
      <w:pPr>
        <w:numPr>
          <w:ilvl w:val="0"/>
          <w:numId w:val="0"/>
        </w:numPr>
        <w:spacing w:line="240" w:lineRule="auto"/>
        <w:rPr>
          <w:rFonts w:hint="eastAsia" w:ascii="宋体" w:hAnsi="宋体" w:eastAsia="宋体" w:cs="宋体"/>
          <w:b w:val="0"/>
          <w:bCs w:val="0"/>
          <w:color w:val="auto"/>
          <w:sz w:val="21"/>
          <w:szCs w:val="21"/>
          <w:lang w:val="en-US" w:eastAsia="zh-CN"/>
        </w:rPr>
      </w:pPr>
    </w:p>
    <w:p w14:paraId="0FC4F3C6">
      <w:pPr>
        <w:numPr>
          <w:ilvl w:val="0"/>
          <w:numId w:val="0"/>
        </w:numPr>
        <w:spacing w:line="240" w:lineRule="auto"/>
        <w:rPr>
          <w:rFonts w:hint="eastAsia" w:ascii="宋体" w:hAnsi="宋体" w:eastAsia="宋体" w:cs="宋体"/>
          <w:b/>
          <w:bCs/>
          <w:color w:val="auto"/>
          <w:sz w:val="21"/>
          <w:szCs w:val="21"/>
          <w:lang w:val="en-US" w:eastAsia="zh-CN"/>
        </w:rPr>
      </w:pPr>
      <w:bookmarkStart w:id="1" w:name="_Toc27147"/>
      <w:r>
        <w:rPr>
          <w:rFonts w:hint="eastAsia" w:ascii="宋体" w:hAnsi="宋体" w:cs="宋体"/>
          <w:b/>
          <w:bCs/>
          <w:color w:val="auto"/>
          <w:sz w:val="21"/>
          <w:szCs w:val="21"/>
          <w:lang w:val="en-US" w:eastAsia="zh-CN"/>
        </w:rPr>
        <w:t>二</w:t>
      </w:r>
      <w:r>
        <w:rPr>
          <w:rFonts w:hint="eastAsia" w:ascii="宋体" w:hAnsi="宋体" w:eastAsia="宋体" w:cs="宋体"/>
          <w:b/>
          <w:bCs/>
          <w:color w:val="auto"/>
          <w:sz w:val="21"/>
          <w:szCs w:val="21"/>
          <w:lang w:val="en-US" w:eastAsia="zh-CN"/>
        </w:rPr>
        <w:t>、商务要求</w:t>
      </w:r>
      <w:bookmarkEnd w:id="1"/>
    </w:p>
    <w:p w14:paraId="1BE77DDE">
      <w:pPr>
        <w:pStyle w:val="14"/>
        <w:numPr>
          <w:ilvl w:val="0"/>
          <w:numId w:val="0"/>
        </w:numPr>
        <w:spacing w:line="240" w:lineRule="auto"/>
        <w:ind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1、服务期：2025年2月至2025年12月</w:t>
      </w:r>
    </w:p>
    <w:p w14:paraId="3D121EA7">
      <w:pPr>
        <w:pStyle w:val="14"/>
        <w:numPr>
          <w:ilvl w:val="0"/>
          <w:numId w:val="0"/>
        </w:numPr>
        <w:spacing w:line="240" w:lineRule="auto"/>
        <w:ind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2、服务地点：采购人指定地点</w:t>
      </w:r>
    </w:p>
    <w:p w14:paraId="1923847F">
      <w:pPr>
        <w:numPr>
          <w:ilvl w:val="0"/>
          <w:numId w:val="0"/>
        </w:numPr>
        <w:spacing w:line="240" w:lineRule="auto"/>
        <w:ind w:leftChars="0"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3、服务要求：详见本项目服务要求</w:t>
      </w:r>
    </w:p>
    <w:p w14:paraId="75BB0F50">
      <w:pPr>
        <w:numPr>
          <w:ilvl w:val="0"/>
          <w:numId w:val="0"/>
        </w:numPr>
        <w:spacing w:line="240" w:lineRule="auto"/>
        <w:ind w:leftChars="0"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auto"/>
          <w:kern w:val="2"/>
          <w:sz w:val="21"/>
          <w:szCs w:val="21"/>
          <w:lang w:val="en-US" w:eastAsia="zh-CN" w:bidi="ar-SA"/>
        </w:rPr>
        <w:t>4、合同终止及违约责任：成交供应商不按采购人要求，不按规定时间进行保洁服务，一年内出现三次经采购人考核成交供应商总分低于60分（不含60分）的，属成交供应商违约，采购人有权单方终止本合同，没收成交供应商的履约保证金及当月的服务费。并由采购人另行聘请他人承接处理卫生清洁整治工作。成交供应商严禁分包或转包，一经发现。采购人有权单方终止本协议，没收成交供应商的保证金及当月的承运费。 成交供应商对其所聘请的工作人员负有监管职责，如因成交供应商违反劳动法规定，致使其工作人员不能正常工作而造成严重社会后果的，视为成交供应商违约，采购人有权解除本合同，并要求成交供应商按照合同总价10%支付违约金，违约金不足于弥补采购人损失的，采购人有权继续追究其因此造成的经济损失。</w:t>
      </w:r>
    </w:p>
    <w:p w14:paraId="62813431">
      <w:pPr>
        <w:numPr>
          <w:ilvl w:val="0"/>
          <w:numId w:val="0"/>
        </w:numPr>
        <w:spacing w:line="240" w:lineRule="auto"/>
        <w:ind w:leftChars="0"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5、付款方式：</w:t>
      </w:r>
    </w:p>
    <w:p w14:paraId="0686C79A">
      <w:pPr>
        <w:numPr>
          <w:ilvl w:val="0"/>
          <w:numId w:val="0"/>
        </w:numPr>
        <w:spacing w:line="240" w:lineRule="auto"/>
        <w:ind w:leftChars="0"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（1）合同签订生效，在成交供应商服务运行一个月并通过采购人对相关内容考核后，采购人按月支付服务费，款项以币种人民币结算。</w:t>
      </w:r>
    </w:p>
    <w:p w14:paraId="0291EC42">
      <w:pPr>
        <w:numPr>
          <w:ilvl w:val="0"/>
          <w:numId w:val="0"/>
        </w:numPr>
        <w:spacing w:line="240" w:lineRule="auto"/>
        <w:ind w:leftChars="0"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（2）采购人在次月30日前根据成交供应商上月考核成绩，在采购人收到成交供应商有效文件及等额有效正式发票后，支付相应的服务费（结算单位为：元人民币）。</w:t>
      </w:r>
    </w:p>
    <w:p w14:paraId="631E5F59">
      <w:pPr>
        <w:numPr>
          <w:ilvl w:val="0"/>
          <w:numId w:val="0"/>
        </w:numPr>
        <w:spacing w:line="240" w:lineRule="auto"/>
        <w:ind w:leftChars="0" w:firstLine="420" w:firstLineChars="200"/>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（3）付款方式：银行划帐。</w:t>
      </w:r>
    </w:p>
    <w:p w14:paraId="3FF2AAAA">
      <w:pPr>
        <w:rPr>
          <w:rFonts w:hint="eastAsia" w:ascii="宋体" w:hAnsi="宋体" w:eastAsia="宋体" w:cs="宋体"/>
        </w:rPr>
      </w:pPr>
      <w:bookmarkStart w:id="2" w:name="_GoBack"/>
      <w:bookmarkEnd w:id="2"/>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883E6">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E719B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E719B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CA515"/>
    <w:multiLevelType w:val="singleLevel"/>
    <w:tmpl w:val="3DBCA5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MTExMzI2ZDBjMTYyNTI3OGRiYzZiYzkwNTMxYWMifQ=="/>
    <w:docVar w:name="KSO_WPS_MARK_KEY" w:val="2f882f87-7e31-4436-893f-a43ae850f241"/>
  </w:docVars>
  <w:rsids>
    <w:rsidRoot w:val="34147566"/>
    <w:rsid w:val="11B50AD2"/>
    <w:rsid w:val="13195E3E"/>
    <w:rsid w:val="1CE13FEE"/>
    <w:rsid w:val="1E4B0792"/>
    <w:rsid w:val="24277415"/>
    <w:rsid w:val="2B1A46F9"/>
    <w:rsid w:val="322D4B31"/>
    <w:rsid w:val="33C159FE"/>
    <w:rsid w:val="34147566"/>
    <w:rsid w:val="36035D24"/>
    <w:rsid w:val="38511B55"/>
    <w:rsid w:val="3AB77759"/>
    <w:rsid w:val="3CCD7657"/>
    <w:rsid w:val="3CD62720"/>
    <w:rsid w:val="42F31448"/>
    <w:rsid w:val="48040237"/>
    <w:rsid w:val="495555C6"/>
    <w:rsid w:val="49DA3E1B"/>
    <w:rsid w:val="4E5300F8"/>
    <w:rsid w:val="549C78B2"/>
    <w:rsid w:val="5B747DBB"/>
    <w:rsid w:val="5EF66329"/>
    <w:rsid w:val="6ADB733E"/>
    <w:rsid w:val="73946AD6"/>
    <w:rsid w:val="7915161D"/>
    <w:rsid w:val="7DBF4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240" w:lineRule="auto"/>
      <w:outlineLvl w:val="3"/>
    </w:pPr>
    <w:rPr>
      <w:rFonts w:ascii="Times New Roman" w:hAnsi="Times New Roman"/>
      <w:b/>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2"/>
    <w:basedOn w:val="3"/>
    <w:unhideWhenUsed/>
    <w:qFormat/>
    <w:uiPriority w:val="99"/>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NormalCharacter"/>
    <w:semiHidden/>
    <w:qFormat/>
    <w:uiPriority w:val="0"/>
    <w:rPr>
      <w:rFonts w:ascii="Calibri" w:hAnsi="Calibri"/>
      <w:kern w:val="2"/>
      <w:sz w:val="21"/>
      <w:szCs w:val="24"/>
      <w:lang w:val="en-US" w:eastAsia="zh-CN" w:bidi="ar-SA"/>
    </w:rPr>
  </w:style>
  <w:style w:type="paragraph" w:customStyle="1" w:styleId="12">
    <w:name w:val="正文正"/>
    <w:basedOn w:val="13"/>
    <w:qFormat/>
    <w:uiPriority w:val="0"/>
    <w:pPr>
      <w:spacing w:line="560" w:lineRule="exact"/>
      <w:ind w:firstLine="561"/>
    </w:pPr>
    <w:rPr>
      <w:rFonts w:ascii="Calibri" w:hAnsi="Calibri"/>
      <w:sz w:val="28"/>
      <w:szCs w:val="24"/>
    </w:rPr>
  </w:style>
  <w:style w:type="paragraph" w:customStyle="1" w:styleId="1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4">
    <w:name w:val="Normal Indent"/>
    <w:basedOn w:val="15"/>
    <w:qFormat/>
    <w:uiPriority w:val="0"/>
    <w:pPr>
      <w:widowControl/>
      <w:ind w:firstLine="420"/>
      <w:jc w:val="left"/>
    </w:pPr>
    <w:rPr>
      <w:rFonts w:ascii="Times New Roman" w:hAnsi="Times New Roman"/>
      <w:kern w:val="0"/>
      <w:szCs w:val="20"/>
    </w:rPr>
  </w:style>
  <w:style w:type="paragraph" w:customStyle="1" w:styleId="15">
    <w:name w:val="正文 New"/>
    <w:next w:val="14"/>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6">
    <w:name w:val="Table Normal"/>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customXml" Target="ink/ink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3-12-05T15:21:20"/>
    </inkml:context>
    <inkml:brush xml:id="br0">
      <inkml:brushProperty name="width" value="0.05292" units="cm"/>
      <inkml:brushProperty name="height" value="0.05292" units="cm"/>
      <inkml:brushProperty name="color" value="#f80600"/>
      <inkml:brushProperty name="ignorePressure" value="0"/>
    </inkml:brush>
  </inkml:definitions>
  <inkml:trace contextRef="#ctx0" brushRef="#br0">21293.000 97826.000,'0.000'0.000</inkml:trace>
</inkml:ink>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2905</Words>
  <Characters>3102</Characters>
  <Lines>0</Lines>
  <Paragraphs>0</Paragraphs>
  <TotalTime>15</TotalTime>
  <ScaleCrop>false</ScaleCrop>
  <LinksUpToDate>false</LinksUpToDate>
  <CharactersWithSpaces>3173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2024-08-14T01:05:00Z</dcterms:created>
  <dc:creator>Daishaoc</dc:creator>
  <cp:lastModifiedBy>Daishaoc</cp:lastModifiedBy>
  <dcterms:modified xsi:type="dcterms:W3CDTF">2025-01-13T06:36:32Z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6F256F7F9CA04ECD9F7B9EEAE3729DDD_13</vt:lpwstr>
  </property>
  <property fmtid="{D5CDD505-2E9C-101B-9397-08002B2CF9AE}" pid="4" name="KSOTemplateDocerSaveRecord">
    <vt:lpwstr>eyJoZGlkIjoiZmRjMDcyYjIwNWE0NWZjMTlmNjFiZDczMTNmYjU2ZjQiLCJ1c2VySWQiOiI2NTU3NzExNTAifQ==</vt:lpwstr>
  </property>
</Properties>
</file>