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50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549"/>
        <w:gridCol w:w="4958"/>
        <w:gridCol w:w="4978"/>
        <w:gridCol w:w="1322"/>
        <w:gridCol w:w="685"/>
        <w:gridCol w:w="496"/>
        <w:gridCol w:w="1431"/>
        <w:gridCol w:w="641"/>
      </w:tblGrid>
      <w:tr w14:paraId="7A67B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61" w:hRule="atLeast"/>
          <w:jc w:val="center"/>
        </w:trPr>
        <w:tc>
          <w:tcPr>
            <w:tcW w:w="15060" w:type="dxa"/>
            <w:gridSpan w:val="8"/>
            <w:tcBorders>
              <w:top w:val="nil"/>
              <w:left w:val="nil"/>
              <w:bottom w:val="nil"/>
              <w:right w:val="nil"/>
            </w:tcBorders>
            <w:shd w:val="clear"/>
            <w:noWrap/>
            <w:vAlign w:val="center"/>
          </w:tcPr>
          <w:p w14:paraId="54F41BD5">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电子竞价报价一览表</w:t>
            </w:r>
          </w:p>
        </w:tc>
      </w:tr>
      <w:tr w14:paraId="6F210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9" w:hRule="atLeast"/>
          <w:jc w:val="center"/>
        </w:trPr>
        <w:tc>
          <w:tcPr>
            <w:tcW w:w="15060" w:type="dxa"/>
            <w:gridSpan w:val="8"/>
            <w:tcBorders>
              <w:top w:val="nil"/>
              <w:left w:val="nil"/>
              <w:bottom w:val="nil"/>
              <w:right w:val="nil"/>
            </w:tcBorders>
            <w:shd w:val="clear"/>
            <w:noWrap/>
            <w:vAlign w:val="center"/>
          </w:tcPr>
          <w:p w14:paraId="09993C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电子竞价项目名称：韶关市民政局养老机构等级评定服务项目</w:t>
            </w:r>
          </w:p>
        </w:tc>
      </w:tr>
      <w:tr w14:paraId="488EC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5" w:hRule="atLeast"/>
          <w:jc w:val="center"/>
        </w:trPr>
        <w:tc>
          <w:tcPr>
            <w:tcW w:w="15060" w:type="dxa"/>
            <w:gridSpan w:val="8"/>
            <w:tcBorders>
              <w:top w:val="nil"/>
              <w:left w:val="nil"/>
              <w:bottom w:val="nil"/>
              <w:right w:val="nil"/>
            </w:tcBorders>
            <w:shd w:val="clear"/>
            <w:noWrap/>
            <w:vAlign w:val="center"/>
          </w:tcPr>
          <w:p w14:paraId="1C8731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电子竞价项目编号：2025-</w:t>
            </w:r>
            <w:bookmarkStart w:id="0" w:name="_GoBack"/>
            <w:bookmarkEnd w:id="0"/>
            <w:r>
              <w:rPr>
                <w:rFonts w:hint="eastAsia" w:ascii="宋体" w:hAnsi="宋体" w:eastAsia="宋体" w:cs="宋体"/>
                <w:i w:val="0"/>
                <w:iCs w:val="0"/>
                <w:color w:val="000000"/>
                <w:kern w:val="0"/>
                <w:sz w:val="22"/>
                <w:szCs w:val="22"/>
                <w:u w:val="none"/>
                <w:bdr w:val="none" w:color="auto" w:sz="0" w:space="0"/>
                <w:lang w:val="en-US" w:eastAsia="zh-CN" w:bidi="ar"/>
              </w:rPr>
              <w:t>317-SGHZ-DZX                                                          预算金额：¥125,000.00</w:t>
            </w:r>
          </w:p>
        </w:tc>
      </w:tr>
      <w:tr w14:paraId="2CD54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3" w:hRule="atLeast"/>
          <w:jc w:val="center"/>
        </w:trPr>
        <w:tc>
          <w:tcPr>
            <w:tcW w:w="549" w:type="dxa"/>
            <w:tcBorders>
              <w:top w:val="single" w:color="000000" w:sz="4" w:space="0"/>
              <w:left w:val="single" w:color="000000" w:sz="4" w:space="0"/>
              <w:bottom w:val="single" w:color="000000" w:sz="4" w:space="0"/>
              <w:right w:val="single" w:color="000000" w:sz="4" w:space="0"/>
            </w:tcBorders>
            <w:shd w:val="clear"/>
            <w:vAlign w:val="center"/>
          </w:tcPr>
          <w:p w14:paraId="650CF82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序号</w:t>
            </w:r>
          </w:p>
        </w:tc>
        <w:tc>
          <w:tcPr>
            <w:tcW w:w="4958" w:type="dxa"/>
            <w:tcBorders>
              <w:top w:val="single" w:color="000000" w:sz="4" w:space="0"/>
              <w:left w:val="single" w:color="000000" w:sz="4" w:space="0"/>
              <w:bottom w:val="single" w:color="000000" w:sz="4" w:space="0"/>
              <w:right w:val="single" w:color="000000" w:sz="4" w:space="0"/>
            </w:tcBorders>
            <w:shd w:val="clear"/>
            <w:noWrap/>
            <w:vAlign w:val="center"/>
          </w:tcPr>
          <w:p w14:paraId="58B5D38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采购标的</w:t>
            </w:r>
          </w:p>
        </w:tc>
        <w:tc>
          <w:tcPr>
            <w:tcW w:w="4978" w:type="dxa"/>
            <w:tcBorders>
              <w:top w:val="single" w:color="000000" w:sz="4" w:space="0"/>
              <w:left w:val="single" w:color="000000" w:sz="4" w:space="0"/>
              <w:bottom w:val="single" w:color="000000" w:sz="4" w:space="0"/>
              <w:right w:val="single" w:color="000000" w:sz="4" w:space="0"/>
            </w:tcBorders>
            <w:shd w:val="clear"/>
            <w:vAlign w:val="center"/>
          </w:tcPr>
          <w:p w14:paraId="6D61330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采购需求的技术、服务要求</w:t>
            </w:r>
          </w:p>
        </w:tc>
        <w:tc>
          <w:tcPr>
            <w:tcW w:w="1322" w:type="dxa"/>
            <w:tcBorders>
              <w:top w:val="single" w:color="000000" w:sz="4" w:space="0"/>
              <w:left w:val="single" w:color="000000" w:sz="4" w:space="0"/>
              <w:bottom w:val="single" w:color="000000" w:sz="4" w:space="0"/>
              <w:right w:val="single" w:color="000000" w:sz="4" w:space="0"/>
            </w:tcBorders>
            <w:shd w:val="clear"/>
            <w:vAlign w:val="center"/>
          </w:tcPr>
          <w:p w14:paraId="0ED74B9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报价产品的技术、服务响应情况</w:t>
            </w:r>
          </w:p>
        </w:tc>
        <w:tc>
          <w:tcPr>
            <w:tcW w:w="685" w:type="dxa"/>
            <w:tcBorders>
              <w:top w:val="single" w:color="000000" w:sz="4" w:space="0"/>
              <w:left w:val="single" w:color="000000" w:sz="4" w:space="0"/>
              <w:bottom w:val="single" w:color="000000" w:sz="4" w:space="0"/>
              <w:right w:val="single" w:color="000000" w:sz="4" w:space="0"/>
            </w:tcBorders>
            <w:shd w:val="clear"/>
            <w:vAlign w:val="center"/>
          </w:tcPr>
          <w:p w14:paraId="1C262E5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是否满足要求</w:t>
            </w:r>
          </w:p>
        </w:tc>
        <w:tc>
          <w:tcPr>
            <w:tcW w:w="496" w:type="dxa"/>
            <w:tcBorders>
              <w:top w:val="single" w:color="000000" w:sz="4" w:space="0"/>
              <w:left w:val="single" w:color="000000" w:sz="4" w:space="0"/>
              <w:bottom w:val="single" w:color="000000" w:sz="4" w:space="0"/>
              <w:right w:val="single" w:color="000000" w:sz="4" w:space="0"/>
            </w:tcBorders>
            <w:shd w:val="clear"/>
            <w:vAlign w:val="center"/>
          </w:tcPr>
          <w:p w14:paraId="6CC5FE4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数量</w:t>
            </w:r>
          </w:p>
        </w:tc>
        <w:tc>
          <w:tcPr>
            <w:tcW w:w="1431" w:type="dxa"/>
            <w:tcBorders>
              <w:top w:val="single" w:color="000000" w:sz="4" w:space="0"/>
              <w:left w:val="single" w:color="000000" w:sz="4" w:space="0"/>
              <w:bottom w:val="single" w:color="000000" w:sz="4" w:space="0"/>
              <w:right w:val="single" w:color="000000" w:sz="4" w:space="0"/>
            </w:tcBorders>
            <w:shd w:val="clear"/>
            <w:vAlign w:val="center"/>
          </w:tcPr>
          <w:p w14:paraId="1B435C6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单价（元）</w:t>
            </w: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220D681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备注</w:t>
            </w:r>
          </w:p>
        </w:tc>
      </w:tr>
      <w:tr w14:paraId="6EBD2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24" w:hRule="atLeast"/>
          <w:jc w:val="center"/>
        </w:trPr>
        <w:tc>
          <w:tcPr>
            <w:tcW w:w="549" w:type="dxa"/>
            <w:tcBorders>
              <w:top w:val="single" w:color="000000" w:sz="4" w:space="0"/>
              <w:left w:val="single" w:color="000000" w:sz="4" w:space="0"/>
              <w:bottom w:val="single" w:color="auto" w:sz="4" w:space="0"/>
              <w:right w:val="single" w:color="000000" w:sz="4" w:space="0"/>
            </w:tcBorders>
            <w:shd w:val="clear"/>
            <w:vAlign w:val="center"/>
          </w:tcPr>
          <w:p w14:paraId="51119A55">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bdr w:val="none" w:color="auto" w:sz="0" w:space="0"/>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58" w:type="dxa"/>
            <w:tcBorders>
              <w:top w:val="single" w:color="000000" w:sz="4" w:space="0"/>
              <w:left w:val="single" w:color="000000" w:sz="4" w:space="0"/>
              <w:bottom w:val="single" w:color="auto" w:sz="4" w:space="0"/>
              <w:right w:val="single" w:color="000000" w:sz="4" w:space="0"/>
            </w:tcBorders>
            <w:shd w:val="clear"/>
            <w:noWrap/>
            <w:vAlign w:val="center"/>
          </w:tcPr>
          <w:p w14:paraId="2F712A4A">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采购项目概况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为加快落实《“十四五”国家老龄事业发展和养老服务体系规划》有关目标任务，进一步推进养老机构高质量发展，不断强化标准引领、 规范管理的工作理念，市民政局根据《广东省民政厅关于开展2025年度养老机构等级评定工作的通知》要求，在全市范围内组织动员养老机构积极申报星级评定，经各养老机构自主申报和自评，各县（市、区）民政局初审等环节，截止到8月31日，全市共有25家养老机构申报一星级和二星级养老机构，其中，敬老院18家、福利院1家、民办养老机构6家。市民政局拟通过购买服务方式聘请第三方服务机构对这25家养老机构开展资料审核和现场评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二、采购需求一览表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序号 采购内容 数量 服务要求 服务期 预算金额（元）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韶关市民政局养老机构等级评定服务项目 1项 详见本项目服务要求 45天，具体时间以签订合同时间为准 ¥125,000.00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注：1.报价超出预算金额的列为无效响应处理。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2.供应商必须对本项目的全部内容进行报价，如有缺漏，将导致无效响应。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3.报价应为人民币含税全包价，包括但不限于人工费、设备费、管理费、利润、税费、安全风险费、责任及交通费等一切费用。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三、工作主要内容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对申报等级评定的25家养老机构开展资料审核和现场评估。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四、工作开展流程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市民政局委托第三方机构（评定机构），对符合申报条件的养老机构实施资料审核和现场评估。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本次养老机构等级评定工作根据《广东省民政厅关于开展2025年度养老机构等级评定工作的通知》要求和相关指导文件按以下程序进行实施。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（一）自评申报。各县（市、区）民政局指导本辖区养老机构按照《广东省民政厅关于开展2025年度养老机构等级评定工作的通知》的要求，开展自评、申报等级评估。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（二）资格审查。评定机构对各地上报的养老机构申报材料进行初审。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（三）实地评估。评定机构组织专家对符合申报条件的养老机构实施现场评估，提出评定意见。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（四）审核复核。市民政局对评定结果进行审核认定并予以公示，公示期为十个工作日；公示期内，市民政局按程序受理对养老机构拟评定结果的复核申请，并做出复核决定。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（五）公布评定结果。对公示期内无异议的，市民政局发布等级评定结果公告，并授予星级养老机构证书和牌匾。</w:t>
            </w:r>
          </w:p>
          <w:p w14:paraId="78A52411">
            <w:pPr>
              <w:keepNext w:val="0"/>
              <w:keepLines w:val="0"/>
              <w:pageBreakBefore w:val="0"/>
              <w:widowControl w:val="0"/>
              <w:kinsoku/>
              <w:wordWrap/>
              <w:overflowPunct/>
              <w:topLinePunct w:val="0"/>
              <w:autoSpaceDE/>
              <w:autoSpaceDN/>
              <w:bidi w:val="0"/>
              <w:adjustRightInd/>
              <w:snapToGrid/>
              <w:spacing w:afterAutospacing="0" w:line="240" w:lineRule="auto"/>
              <w:ind w:firstLine="0" w:firstLineChars="0"/>
              <w:jc w:val="left"/>
              <w:textAlignment w:val="auto"/>
              <w:rPr>
                <w:rFonts w:hint="eastAsia" w:ascii="宋体" w:hAnsi="宋体" w:eastAsia="宋体" w:cs="宋体"/>
                <w:b/>
                <w:bCs w:val="0"/>
                <w:color w:val="000000"/>
                <w:sz w:val="20"/>
                <w:szCs w:val="20"/>
                <w:highlight w:val="none"/>
                <w:lang w:val="en-US" w:eastAsia="zh-CN"/>
              </w:rPr>
            </w:pPr>
            <w:r>
              <w:rPr>
                <w:rFonts w:hint="eastAsia" w:ascii="宋体" w:hAnsi="宋体" w:eastAsia="宋体" w:cs="宋体"/>
                <w:b/>
                <w:bCs w:val="0"/>
                <w:color w:val="000000"/>
                <w:sz w:val="20"/>
                <w:szCs w:val="20"/>
                <w:highlight w:val="none"/>
                <w:lang w:val="en-US" w:eastAsia="zh-CN"/>
              </w:rPr>
              <w:t>五</w:t>
            </w:r>
            <w:r>
              <w:rPr>
                <w:rFonts w:hint="eastAsia" w:ascii="宋体" w:hAnsi="宋体" w:eastAsia="宋体" w:cs="宋体"/>
                <w:b/>
                <w:bCs w:val="0"/>
                <w:color w:val="000000"/>
                <w:sz w:val="20"/>
                <w:szCs w:val="20"/>
                <w:highlight w:val="none"/>
              </w:rPr>
              <w:t>、</w:t>
            </w:r>
            <w:r>
              <w:rPr>
                <w:rFonts w:hint="eastAsia" w:ascii="宋体" w:hAnsi="宋体" w:eastAsia="宋体" w:cs="宋体"/>
                <w:b/>
                <w:bCs w:val="0"/>
                <w:color w:val="000000"/>
                <w:sz w:val="20"/>
                <w:szCs w:val="20"/>
                <w:highlight w:val="none"/>
                <w:lang w:val="en-US" w:eastAsia="zh-CN"/>
              </w:rPr>
              <w:t>服务要求</w:t>
            </w:r>
          </w:p>
          <w:p w14:paraId="02D4B5CF">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eastAsia="zh-CN" w:bidi="ar-SA"/>
              </w:rPr>
              <w:t>1.依据</w:t>
            </w:r>
            <w:r>
              <w:rPr>
                <w:rFonts w:hint="eastAsia" w:ascii="宋体" w:hAnsi="宋体" w:eastAsia="宋体" w:cs="宋体"/>
                <w:bCs/>
                <w:color w:val="000000"/>
                <w:kern w:val="2"/>
                <w:sz w:val="20"/>
                <w:szCs w:val="20"/>
                <w:lang w:val="en-US" w:eastAsia="zh-CN" w:bidi="ar-SA"/>
              </w:rPr>
              <w:t>《广东省民政厅关于开展2025年度养老机构等级评定工作的通知》，对参评的养老机构进行评价并形成评价报告，交付给采购人</w:t>
            </w:r>
            <w:r>
              <w:rPr>
                <w:rFonts w:hint="eastAsia" w:ascii="宋体" w:hAnsi="宋体" w:eastAsia="宋体" w:cs="宋体"/>
                <w:bCs/>
                <w:color w:val="000000"/>
                <w:kern w:val="2"/>
                <w:sz w:val="20"/>
                <w:szCs w:val="20"/>
                <w:lang w:eastAsia="zh-CN" w:bidi="ar-SA"/>
              </w:rPr>
              <w:t>；</w:t>
            </w:r>
          </w:p>
          <w:p w14:paraId="00C29C8E">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auto"/>
                <w:kern w:val="2"/>
                <w:sz w:val="20"/>
                <w:szCs w:val="20"/>
                <w:lang w:eastAsia="zh-CN" w:bidi="ar-SA"/>
              </w:rPr>
            </w:pPr>
            <w:r>
              <w:rPr>
                <w:rFonts w:hint="eastAsia" w:ascii="宋体" w:hAnsi="宋体" w:eastAsia="宋体" w:cs="宋体"/>
                <w:bCs/>
                <w:color w:val="auto"/>
                <w:kern w:val="2"/>
                <w:sz w:val="20"/>
                <w:szCs w:val="20"/>
                <w:lang w:val="en-US" w:eastAsia="zh-CN" w:bidi="ar-SA"/>
              </w:rPr>
              <w:t>2</w:t>
            </w:r>
            <w:r>
              <w:rPr>
                <w:rFonts w:hint="eastAsia" w:ascii="宋体" w:hAnsi="宋体" w:eastAsia="宋体" w:cs="宋体"/>
                <w:bCs/>
                <w:color w:val="auto"/>
                <w:kern w:val="2"/>
                <w:sz w:val="20"/>
                <w:szCs w:val="20"/>
                <w:lang w:eastAsia="zh-CN" w:bidi="ar-SA"/>
              </w:rPr>
              <w:t>.每次评价活动的评价组成员不少于4人，其中</w:t>
            </w:r>
            <w:r>
              <w:rPr>
                <w:rFonts w:hint="eastAsia" w:ascii="宋体" w:hAnsi="宋体" w:eastAsia="宋体" w:cs="宋体"/>
                <w:bCs/>
                <w:color w:val="auto"/>
                <w:kern w:val="0"/>
                <w:sz w:val="20"/>
                <w:szCs w:val="20"/>
                <w:highlight w:val="none"/>
              </w:rPr>
              <w:t>3名专家</w:t>
            </w:r>
            <w:r>
              <w:rPr>
                <w:rFonts w:hint="eastAsia" w:ascii="宋体" w:hAnsi="宋体" w:eastAsia="宋体" w:cs="宋体"/>
                <w:bCs/>
                <w:color w:val="auto"/>
                <w:kern w:val="0"/>
                <w:sz w:val="20"/>
                <w:szCs w:val="20"/>
                <w:highlight w:val="none"/>
                <w:lang w:eastAsia="zh-CN"/>
              </w:rPr>
              <w:t>（民政部门认定专家库成员）</w:t>
            </w:r>
            <w:r>
              <w:rPr>
                <w:rFonts w:hint="eastAsia" w:ascii="宋体" w:hAnsi="宋体" w:eastAsia="宋体" w:cs="宋体"/>
                <w:bCs/>
                <w:color w:val="auto"/>
                <w:kern w:val="0"/>
                <w:sz w:val="20"/>
                <w:szCs w:val="20"/>
                <w:highlight w:val="none"/>
              </w:rPr>
              <w:t>及1名助理</w:t>
            </w:r>
            <w:r>
              <w:rPr>
                <w:rFonts w:hint="eastAsia" w:ascii="宋体" w:hAnsi="宋体" w:eastAsia="宋体" w:cs="宋体"/>
                <w:bCs/>
                <w:color w:val="auto"/>
                <w:kern w:val="2"/>
                <w:sz w:val="20"/>
                <w:szCs w:val="20"/>
                <w:lang w:eastAsia="zh-CN" w:bidi="ar-SA"/>
              </w:rPr>
              <w:t>。</w:t>
            </w:r>
          </w:p>
          <w:p w14:paraId="0E295FDD">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val="en-US" w:eastAsia="zh-CN" w:bidi="ar-SA"/>
              </w:rPr>
              <w:t>3</w:t>
            </w:r>
            <w:r>
              <w:rPr>
                <w:rFonts w:hint="eastAsia" w:ascii="宋体" w:hAnsi="宋体" w:eastAsia="宋体" w:cs="宋体"/>
                <w:bCs/>
                <w:color w:val="000000"/>
                <w:kern w:val="2"/>
                <w:sz w:val="20"/>
                <w:szCs w:val="20"/>
                <w:lang w:eastAsia="zh-CN" w:bidi="ar-SA"/>
              </w:rPr>
              <w:t>.</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在评价活动过程中不得具有任何形式的</w:t>
            </w:r>
            <w:r>
              <w:rPr>
                <w:rFonts w:hint="eastAsia" w:ascii="宋体" w:hAnsi="宋体" w:eastAsia="宋体" w:cs="宋体"/>
                <w:bCs/>
                <w:color w:val="000000"/>
                <w:kern w:val="2"/>
                <w:sz w:val="20"/>
                <w:szCs w:val="20"/>
                <w:u w:val="none"/>
                <w:lang w:eastAsia="zh-CN" w:bidi="ar-SA"/>
              </w:rPr>
              <w:t>歧视</w:t>
            </w:r>
            <w:r>
              <w:rPr>
                <w:rFonts w:hint="eastAsia" w:ascii="宋体" w:hAnsi="宋体" w:eastAsia="宋体" w:cs="宋体"/>
                <w:bCs/>
                <w:color w:val="000000"/>
                <w:kern w:val="2"/>
                <w:sz w:val="20"/>
                <w:szCs w:val="20"/>
                <w:lang w:eastAsia="zh-CN" w:bidi="ar-SA"/>
              </w:rPr>
              <w:t>，如加快或拖延评价申请的处理等隐性的歧视行为。</w:t>
            </w:r>
          </w:p>
          <w:p w14:paraId="7D7E5597">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val="en-US" w:eastAsia="zh-CN" w:bidi="ar-SA"/>
              </w:rPr>
              <w:t>4</w:t>
            </w:r>
            <w:r>
              <w:rPr>
                <w:rFonts w:hint="eastAsia" w:ascii="宋体" w:hAnsi="宋体" w:eastAsia="宋体" w:cs="宋体"/>
                <w:bCs/>
                <w:color w:val="000000"/>
                <w:kern w:val="2"/>
                <w:sz w:val="20"/>
                <w:szCs w:val="20"/>
                <w:lang w:eastAsia="zh-CN" w:bidi="ar-SA"/>
              </w:rPr>
              <w:t>.等级评定活动完成后，对参评养老机构进行指导点评。等级评定完成后，</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应将评价过程中涉及养老机构的所有评价资料移交</w:t>
            </w:r>
            <w:r>
              <w:rPr>
                <w:rFonts w:hint="eastAsia" w:ascii="宋体" w:hAnsi="宋体" w:eastAsia="宋体" w:cs="宋体"/>
                <w:bCs/>
                <w:color w:val="000000"/>
                <w:kern w:val="2"/>
                <w:sz w:val="20"/>
                <w:szCs w:val="20"/>
                <w:lang w:val="en-US" w:eastAsia="zh-CN" w:bidi="ar-SA"/>
              </w:rPr>
              <w:t>采购人</w:t>
            </w:r>
            <w:r>
              <w:rPr>
                <w:rFonts w:hint="eastAsia" w:ascii="宋体" w:hAnsi="宋体" w:eastAsia="宋体" w:cs="宋体"/>
                <w:bCs/>
                <w:color w:val="000000"/>
                <w:kern w:val="2"/>
                <w:sz w:val="20"/>
                <w:szCs w:val="20"/>
                <w:lang w:eastAsia="zh-CN" w:bidi="ar-SA"/>
              </w:rPr>
              <w:t>。对涉及养老机构的服务质量、商业模式、财务营收、入住老人数据等有关信息应当保密，未经韶关市民政局同意，不得用作星级评定工作以外的其他用途。</w:t>
            </w:r>
          </w:p>
          <w:p w14:paraId="1F71BD04">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val="en-US" w:eastAsia="zh-CN" w:bidi="ar-SA"/>
              </w:rPr>
              <w:t>5</w:t>
            </w:r>
            <w:r>
              <w:rPr>
                <w:rFonts w:hint="eastAsia" w:ascii="宋体" w:hAnsi="宋体" w:eastAsia="宋体" w:cs="宋体"/>
                <w:bCs/>
                <w:color w:val="000000"/>
                <w:kern w:val="2"/>
                <w:sz w:val="20"/>
                <w:szCs w:val="20"/>
                <w:lang w:eastAsia="zh-CN" w:bidi="ar-SA"/>
              </w:rPr>
              <w:t>.</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需承诺在限定时间内完成</w:t>
            </w:r>
            <w:r>
              <w:rPr>
                <w:rFonts w:hint="eastAsia" w:ascii="宋体" w:hAnsi="宋体" w:eastAsia="宋体" w:cs="宋体"/>
                <w:bCs/>
                <w:color w:val="000000"/>
                <w:kern w:val="2"/>
                <w:sz w:val="20"/>
                <w:szCs w:val="20"/>
                <w:lang w:val="en-US" w:eastAsia="zh-CN" w:bidi="ar-SA"/>
              </w:rPr>
              <w:t>25家</w:t>
            </w:r>
            <w:r>
              <w:rPr>
                <w:rFonts w:hint="eastAsia" w:ascii="宋体" w:hAnsi="宋体" w:eastAsia="宋体" w:cs="宋体"/>
                <w:bCs/>
                <w:color w:val="000000"/>
                <w:kern w:val="2"/>
                <w:sz w:val="20"/>
                <w:szCs w:val="20"/>
                <w:lang w:eastAsia="zh-CN" w:bidi="ar-SA"/>
              </w:rPr>
              <w:t>养老机构评定工作，如需要延长服务时间，需与采购人协商。</w:t>
            </w:r>
          </w:p>
          <w:p w14:paraId="49E20DA1">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val="en-US" w:eastAsia="zh-CN" w:bidi="ar-SA"/>
              </w:rPr>
              <w:t>6</w:t>
            </w:r>
            <w:r>
              <w:rPr>
                <w:rFonts w:hint="eastAsia" w:ascii="宋体" w:hAnsi="宋体" w:eastAsia="宋体" w:cs="宋体"/>
                <w:bCs/>
                <w:color w:val="000000"/>
                <w:kern w:val="2"/>
                <w:sz w:val="20"/>
                <w:szCs w:val="20"/>
                <w:lang w:eastAsia="zh-CN" w:bidi="ar-SA"/>
              </w:rPr>
              <w:t>.为保证评价的公正性，</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不得对与其有利害关系、管理关系或同一组织隶属关系的养老机构实施评价活动。</w:t>
            </w:r>
          </w:p>
          <w:p w14:paraId="40A38C65">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val="en-US" w:eastAsia="zh-CN" w:bidi="ar-SA"/>
              </w:rPr>
              <w:t>7</w:t>
            </w:r>
            <w:r>
              <w:rPr>
                <w:rFonts w:hint="eastAsia" w:ascii="宋体" w:hAnsi="宋体" w:eastAsia="宋体" w:cs="宋体"/>
                <w:bCs/>
                <w:color w:val="000000"/>
                <w:kern w:val="2"/>
                <w:sz w:val="20"/>
                <w:szCs w:val="20"/>
                <w:lang w:eastAsia="zh-CN" w:bidi="ar-SA"/>
              </w:rPr>
              <w:t>.在项目实施过程中，如有特殊困难确需调整，经采购人同意后可做适当调整。</w:t>
            </w:r>
          </w:p>
          <w:p w14:paraId="67F051D5">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val="en-US" w:eastAsia="zh-CN" w:bidi="ar-SA"/>
              </w:rPr>
              <w:t>8</w:t>
            </w:r>
            <w:r>
              <w:rPr>
                <w:rFonts w:hint="eastAsia" w:ascii="宋体" w:hAnsi="宋体" w:eastAsia="宋体" w:cs="宋体"/>
                <w:bCs/>
                <w:color w:val="000000"/>
                <w:kern w:val="2"/>
                <w:sz w:val="20"/>
                <w:szCs w:val="20"/>
                <w:lang w:eastAsia="zh-CN" w:bidi="ar-SA"/>
              </w:rPr>
              <w:t>.</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不得以任何方式转包、分包或挂靠本项目；如发现中标人以转包、分包或挂靠的方式谋取中标，采购人有权解除合同。</w:t>
            </w:r>
          </w:p>
          <w:p w14:paraId="3993B35E">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val="en-US" w:eastAsia="zh-CN" w:bidi="ar-SA"/>
              </w:rPr>
              <w:t>9</w:t>
            </w:r>
            <w:r>
              <w:rPr>
                <w:rFonts w:hint="eastAsia" w:ascii="宋体" w:hAnsi="宋体" w:eastAsia="宋体" w:cs="宋体"/>
                <w:bCs/>
                <w:color w:val="000000"/>
                <w:kern w:val="2"/>
                <w:sz w:val="20"/>
                <w:szCs w:val="20"/>
                <w:lang w:eastAsia="zh-CN" w:bidi="ar-SA"/>
              </w:rPr>
              <w:t>.</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在有效服务期内如不能满足采购需求及采购合同的相关要求，或没有实现</w:t>
            </w:r>
            <w:r>
              <w:rPr>
                <w:rFonts w:hint="eastAsia" w:ascii="宋体" w:hAnsi="宋体" w:eastAsia="宋体" w:cs="宋体"/>
                <w:bCs/>
                <w:color w:val="auto"/>
                <w:kern w:val="2"/>
                <w:sz w:val="20"/>
                <w:szCs w:val="20"/>
                <w:u w:val="none"/>
                <w:lang w:eastAsia="zh-CN" w:bidi="ar-SA"/>
              </w:rPr>
              <w:t>响应</w:t>
            </w:r>
            <w:r>
              <w:rPr>
                <w:rFonts w:hint="eastAsia" w:ascii="宋体" w:hAnsi="宋体" w:eastAsia="宋体" w:cs="宋体"/>
                <w:bCs/>
                <w:color w:val="auto"/>
                <w:kern w:val="2"/>
                <w:sz w:val="20"/>
                <w:szCs w:val="20"/>
                <w:u w:val="none"/>
                <w:lang w:val="en-US" w:eastAsia="zh-CN" w:bidi="ar-SA"/>
              </w:rPr>
              <w:t>需求文件</w:t>
            </w:r>
            <w:r>
              <w:rPr>
                <w:rFonts w:hint="eastAsia" w:ascii="宋体" w:hAnsi="宋体" w:eastAsia="宋体" w:cs="宋体"/>
                <w:bCs/>
                <w:color w:val="auto"/>
                <w:kern w:val="2"/>
                <w:sz w:val="20"/>
                <w:szCs w:val="20"/>
                <w:lang w:eastAsia="zh-CN" w:bidi="ar-SA"/>
              </w:rPr>
              <w:t>中</w:t>
            </w:r>
            <w:r>
              <w:rPr>
                <w:rFonts w:hint="eastAsia" w:ascii="宋体" w:hAnsi="宋体" w:eastAsia="宋体" w:cs="宋体"/>
                <w:bCs/>
                <w:color w:val="000000"/>
                <w:kern w:val="2"/>
                <w:sz w:val="20"/>
                <w:szCs w:val="20"/>
                <w:lang w:eastAsia="zh-CN" w:bidi="ar-SA"/>
              </w:rPr>
              <w:t>的相关承诺，采购</w:t>
            </w:r>
            <w:r>
              <w:rPr>
                <w:rFonts w:hint="eastAsia" w:ascii="宋体" w:hAnsi="宋体" w:eastAsia="宋体" w:cs="宋体"/>
                <w:bCs/>
                <w:color w:val="000000"/>
                <w:kern w:val="2"/>
                <w:sz w:val="20"/>
                <w:szCs w:val="20"/>
                <w:lang w:val="en-US" w:eastAsia="zh-CN" w:bidi="ar-SA"/>
              </w:rPr>
              <w:t>人</w:t>
            </w:r>
            <w:r>
              <w:rPr>
                <w:rFonts w:hint="eastAsia" w:ascii="宋体" w:hAnsi="宋体" w:eastAsia="宋体" w:cs="宋体"/>
                <w:bCs/>
                <w:color w:val="000000"/>
                <w:kern w:val="2"/>
                <w:sz w:val="20"/>
                <w:szCs w:val="20"/>
                <w:lang w:eastAsia="zh-CN" w:bidi="ar-SA"/>
              </w:rPr>
              <w:t>有权单方面解除合作，并保留追究其法律责任的权利。</w:t>
            </w:r>
          </w:p>
          <w:p w14:paraId="7B219B26">
            <w:pPr>
              <w:keepNext w:val="0"/>
              <w:keepLines w:val="0"/>
              <w:pageBreakBefore w:val="0"/>
              <w:widowControl w:val="0"/>
              <w:numPr>
                <w:ilvl w:val="0"/>
                <w:numId w:val="0"/>
              </w:numPr>
              <w:kinsoku/>
              <w:wordWrap/>
              <w:overflowPunct/>
              <w:topLinePunct w:val="0"/>
              <w:autoSpaceDE/>
              <w:autoSpaceDN/>
              <w:bidi w:val="0"/>
              <w:adjustRightInd/>
              <w:snapToGrid/>
              <w:spacing w:afterAutospacing="0" w:line="240" w:lineRule="auto"/>
              <w:ind w:firstLine="0" w:firstLineChars="0"/>
              <w:jc w:val="left"/>
              <w:textAlignment w:val="auto"/>
              <w:rPr>
                <w:rFonts w:hint="eastAsia" w:ascii="宋体" w:hAnsi="宋体" w:eastAsia="宋体" w:cs="宋体"/>
                <w:b/>
                <w:bCs/>
                <w:sz w:val="20"/>
                <w:szCs w:val="20"/>
                <w:lang w:val="en-US" w:eastAsia="zh-CN"/>
              </w:rPr>
            </w:pPr>
            <w:r>
              <w:rPr>
                <w:rFonts w:hint="eastAsia" w:ascii="宋体" w:hAnsi="宋体" w:eastAsia="宋体" w:cs="宋体"/>
                <w:b/>
                <w:bCs/>
                <w:sz w:val="20"/>
                <w:szCs w:val="20"/>
                <w:lang w:val="en-US" w:eastAsia="zh-CN"/>
              </w:rPr>
              <w:t>六、商务要求</w:t>
            </w:r>
          </w:p>
          <w:p w14:paraId="06F8A3C8">
            <w:pPr>
              <w:pStyle w:val="2"/>
              <w:keepNext w:val="0"/>
              <w:keepLines w:val="0"/>
              <w:pageBreakBefore w:val="0"/>
              <w:widowControl w:val="0"/>
              <w:kinsoku/>
              <w:wordWrap/>
              <w:overflowPunct/>
              <w:topLinePunct w:val="0"/>
              <w:autoSpaceDE/>
              <w:autoSpaceDN/>
              <w:bidi w:val="0"/>
              <w:adjustRightInd/>
              <w:snapToGrid/>
              <w:spacing w:afterAutospacing="0" w:line="240" w:lineRule="auto"/>
              <w:ind w:firstLine="0" w:firstLineChars="0"/>
              <w:jc w:val="left"/>
              <w:textAlignment w:val="auto"/>
              <w:rPr>
                <w:rFonts w:hint="eastAsia" w:ascii="宋体" w:hAnsi="宋体" w:eastAsia="宋体" w:cs="宋体"/>
                <w:bCs/>
                <w:color w:val="000000"/>
                <w:kern w:val="2"/>
                <w:sz w:val="20"/>
                <w:szCs w:val="20"/>
                <w:lang w:val="en-US" w:eastAsia="zh-CN"/>
              </w:rPr>
            </w:pPr>
            <w:r>
              <w:rPr>
                <w:rFonts w:hint="eastAsia" w:ascii="宋体" w:hAnsi="宋体" w:eastAsia="宋体" w:cs="宋体"/>
                <w:bCs/>
                <w:color w:val="000000"/>
                <w:kern w:val="2"/>
                <w:sz w:val="20"/>
                <w:szCs w:val="20"/>
                <w:lang w:eastAsia="zh-CN"/>
              </w:rPr>
              <w:t>（</w:t>
            </w:r>
            <w:r>
              <w:rPr>
                <w:rFonts w:hint="eastAsia" w:ascii="宋体" w:hAnsi="宋体" w:eastAsia="宋体" w:cs="宋体"/>
                <w:bCs/>
                <w:color w:val="000000"/>
                <w:kern w:val="2"/>
                <w:sz w:val="20"/>
                <w:szCs w:val="20"/>
                <w:lang w:val="en-US" w:eastAsia="zh-CN"/>
              </w:rPr>
              <w:t>一</w:t>
            </w:r>
            <w:r>
              <w:rPr>
                <w:rFonts w:hint="eastAsia" w:ascii="宋体" w:hAnsi="宋体" w:eastAsia="宋体" w:cs="宋体"/>
                <w:bCs/>
                <w:color w:val="000000"/>
                <w:kern w:val="2"/>
                <w:sz w:val="20"/>
                <w:szCs w:val="20"/>
                <w:lang w:eastAsia="zh-CN"/>
              </w:rPr>
              <w:t>）服务期：</w:t>
            </w:r>
            <w:r>
              <w:rPr>
                <w:rFonts w:hint="eastAsia" w:ascii="宋体" w:hAnsi="宋体" w:eastAsia="宋体" w:cs="宋体"/>
                <w:bCs/>
                <w:color w:val="000000"/>
                <w:kern w:val="2"/>
                <w:sz w:val="20"/>
                <w:szCs w:val="20"/>
                <w:lang w:val="en-US" w:eastAsia="zh-CN"/>
              </w:rPr>
              <w:t>45天，具体时间以签订合同时间为准。</w:t>
            </w:r>
          </w:p>
          <w:p w14:paraId="0F63630F">
            <w:pPr>
              <w:pStyle w:val="2"/>
              <w:keepNext w:val="0"/>
              <w:keepLines w:val="0"/>
              <w:pageBreakBefore w:val="0"/>
              <w:widowControl w:val="0"/>
              <w:kinsoku/>
              <w:wordWrap/>
              <w:overflowPunct/>
              <w:topLinePunct w:val="0"/>
              <w:autoSpaceDE/>
              <w:autoSpaceDN/>
              <w:bidi w:val="0"/>
              <w:adjustRightInd/>
              <w:snapToGrid/>
              <w:spacing w:afterAutospacing="0" w:line="240" w:lineRule="auto"/>
              <w:ind w:firstLine="0" w:firstLineChars="0"/>
              <w:jc w:val="left"/>
              <w:textAlignment w:val="auto"/>
              <w:rPr>
                <w:rFonts w:hint="eastAsia" w:ascii="宋体" w:hAnsi="宋体" w:eastAsia="宋体" w:cs="宋体"/>
                <w:bCs/>
                <w:color w:val="000000"/>
                <w:kern w:val="2"/>
                <w:sz w:val="20"/>
                <w:szCs w:val="20"/>
                <w:lang w:val="en-US" w:eastAsia="zh-CN"/>
              </w:rPr>
            </w:pPr>
            <w:r>
              <w:rPr>
                <w:rFonts w:hint="eastAsia" w:ascii="宋体" w:hAnsi="宋体" w:eastAsia="宋体" w:cs="宋体"/>
                <w:bCs/>
                <w:color w:val="000000"/>
                <w:kern w:val="2"/>
                <w:sz w:val="20"/>
                <w:szCs w:val="20"/>
                <w:lang w:val="en-US" w:eastAsia="zh-CN"/>
              </w:rPr>
              <w:t>（二）服务地点：按采购人指定地点。</w:t>
            </w:r>
          </w:p>
          <w:p w14:paraId="752333D2">
            <w:pPr>
              <w:pStyle w:val="2"/>
              <w:keepNext w:val="0"/>
              <w:keepLines w:val="0"/>
              <w:pageBreakBefore w:val="0"/>
              <w:widowControl w:val="0"/>
              <w:kinsoku/>
              <w:wordWrap/>
              <w:overflowPunct/>
              <w:topLinePunct w:val="0"/>
              <w:autoSpaceDE/>
              <w:autoSpaceDN/>
              <w:bidi w:val="0"/>
              <w:adjustRightInd/>
              <w:snapToGrid/>
              <w:spacing w:afterAutospacing="0" w:line="240" w:lineRule="auto"/>
              <w:ind w:firstLine="0" w:firstLineChars="0"/>
              <w:jc w:val="left"/>
              <w:textAlignment w:val="auto"/>
              <w:rPr>
                <w:rFonts w:hint="eastAsia" w:ascii="宋体" w:hAnsi="宋体" w:eastAsia="宋体" w:cs="宋体"/>
                <w:bCs/>
                <w:color w:val="000000"/>
                <w:kern w:val="2"/>
                <w:sz w:val="20"/>
                <w:szCs w:val="20"/>
                <w:lang w:val="en-US" w:eastAsia="zh-CN"/>
              </w:rPr>
            </w:pPr>
            <w:r>
              <w:rPr>
                <w:rFonts w:hint="eastAsia" w:ascii="宋体" w:hAnsi="宋体" w:eastAsia="宋体" w:cs="宋体"/>
                <w:bCs/>
                <w:color w:val="000000"/>
                <w:kern w:val="2"/>
                <w:sz w:val="20"/>
                <w:szCs w:val="20"/>
                <w:lang w:val="en-US" w:eastAsia="zh-CN"/>
              </w:rPr>
              <w:t>（三）验收要求</w:t>
            </w:r>
          </w:p>
          <w:p w14:paraId="2F1B4B76">
            <w:pPr>
              <w:pStyle w:val="2"/>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val="en-US" w:eastAsia="zh-CN"/>
              </w:rPr>
            </w:pPr>
            <w:r>
              <w:rPr>
                <w:rFonts w:hint="eastAsia" w:ascii="宋体" w:hAnsi="宋体" w:eastAsia="宋体" w:cs="宋体"/>
                <w:bCs/>
                <w:color w:val="000000"/>
                <w:kern w:val="2"/>
                <w:sz w:val="20"/>
                <w:szCs w:val="20"/>
                <w:lang w:val="en-US" w:eastAsia="zh-CN"/>
              </w:rPr>
              <w:t>采购人对成交供应商提交的成果进行整体验收。</w:t>
            </w:r>
          </w:p>
          <w:p w14:paraId="4B48CD81">
            <w:pPr>
              <w:pStyle w:val="2"/>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val="en-US" w:eastAsia="zh-CN"/>
              </w:rPr>
            </w:pPr>
            <w:r>
              <w:rPr>
                <w:rFonts w:hint="eastAsia" w:ascii="宋体" w:hAnsi="宋体" w:eastAsia="宋体" w:cs="宋体"/>
                <w:bCs/>
                <w:color w:val="000000"/>
                <w:kern w:val="2"/>
                <w:sz w:val="20"/>
                <w:szCs w:val="20"/>
                <w:lang w:val="en-US" w:eastAsia="zh-CN"/>
              </w:rPr>
              <w:t>采购人</w:t>
            </w:r>
            <w:r>
              <w:rPr>
                <w:rFonts w:hint="eastAsia" w:ascii="宋体" w:hAnsi="宋体" w:eastAsia="宋体" w:cs="宋体"/>
                <w:bCs/>
                <w:strike w:val="0"/>
                <w:color w:val="000000"/>
                <w:kern w:val="2"/>
                <w:sz w:val="20"/>
                <w:szCs w:val="20"/>
                <w:lang w:val="en-US" w:eastAsia="zh-CN"/>
              </w:rPr>
              <w:t>将组织工作人员对成交供应商的等级评价活动进行实地抽查，抽查率不低于5%。</w:t>
            </w:r>
            <w:r>
              <w:rPr>
                <w:rFonts w:hint="eastAsia" w:ascii="宋体" w:hAnsi="宋体" w:eastAsia="宋体" w:cs="宋体"/>
                <w:bCs/>
                <w:color w:val="000000"/>
                <w:kern w:val="2"/>
                <w:sz w:val="20"/>
                <w:szCs w:val="20"/>
                <w:lang w:val="en-US" w:eastAsia="zh-CN"/>
              </w:rPr>
              <w:t>对违反评价活动公正性原则、无歧视原则、保密原则、尊重原则以及不具备评价能力的第三方评估机构采购人将中止合同关系。性质恶劣、情节严重的，将依法列入广东省政府采购目录黑名单并依法追究其责任。</w:t>
            </w:r>
          </w:p>
          <w:p w14:paraId="2AC64813">
            <w:pPr>
              <w:pStyle w:val="2"/>
              <w:keepNext w:val="0"/>
              <w:keepLines w:val="0"/>
              <w:pageBreakBefore w:val="0"/>
              <w:widowControl w:val="0"/>
              <w:numPr>
                <w:ilvl w:val="0"/>
                <w:numId w:val="2"/>
              </w:numPr>
              <w:kinsoku/>
              <w:wordWrap/>
              <w:overflowPunct/>
              <w:topLinePunct w:val="0"/>
              <w:autoSpaceDE/>
              <w:autoSpaceDN/>
              <w:bidi w:val="0"/>
              <w:adjustRightInd/>
              <w:snapToGrid/>
              <w:spacing w:afterAutospacing="0" w:line="240" w:lineRule="auto"/>
              <w:ind w:firstLine="0" w:firstLineChars="0"/>
              <w:jc w:val="left"/>
              <w:textAlignment w:val="auto"/>
              <w:rPr>
                <w:rFonts w:hint="eastAsia" w:ascii="宋体" w:hAnsi="宋体" w:eastAsia="宋体" w:cs="宋体"/>
                <w:bCs/>
                <w:color w:val="000000"/>
                <w:kern w:val="2"/>
                <w:sz w:val="20"/>
                <w:szCs w:val="20"/>
                <w:lang w:val="en-US" w:eastAsia="zh-CN"/>
              </w:rPr>
            </w:pPr>
            <w:r>
              <w:rPr>
                <w:rFonts w:hint="eastAsia" w:ascii="宋体" w:hAnsi="宋体" w:eastAsia="宋体" w:cs="宋体"/>
                <w:bCs/>
                <w:color w:val="000000"/>
                <w:kern w:val="2"/>
                <w:sz w:val="20"/>
                <w:szCs w:val="20"/>
                <w:lang w:val="en-US" w:eastAsia="zh-CN"/>
              </w:rPr>
              <w:t>保密要求</w:t>
            </w:r>
          </w:p>
          <w:p w14:paraId="3E229945">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val="en-US" w:eastAsia="zh-CN" w:bidi="ar-SA"/>
              </w:rPr>
              <w:t>1</w:t>
            </w:r>
            <w:r>
              <w:rPr>
                <w:rFonts w:hint="eastAsia" w:ascii="宋体" w:hAnsi="宋体" w:eastAsia="宋体" w:cs="宋体"/>
                <w:bCs/>
                <w:color w:val="000000"/>
                <w:kern w:val="2"/>
                <w:sz w:val="20"/>
                <w:szCs w:val="20"/>
                <w:lang w:eastAsia="zh-CN" w:bidi="ar-SA"/>
              </w:rPr>
              <w:t>.本项目所获得一切数据所有权，归采购人所有；未经采购</w:t>
            </w:r>
            <w:r>
              <w:rPr>
                <w:rFonts w:hint="eastAsia" w:ascii="宋体" w:hAnsi="宋体" w:eastAsia="宋体" w:cs="宋体"/>
                <w:bCs/>
                <w:color w:val="000000"/>
                <w:kern w:val="2"/>
                <w:sz w:val="20"/>
                <w:szCs w:val="20"/>
                <w:lang w:val="en-US" w:eastAsia="zh-CN" w:bidi="ar-SA"/>
              </w:rPr>
              <w:t>人</w:t>
            </w:r>
            <w:r>
              <w:rPr>
                <w:rFonts w:hint="eastAsia" w:ascii="宋体" w:hAnsi="宋体" w:eastAsia="宋体" w:cs="宋体"/>
                <w:bCs/>
                <w:color w:val="000000"/>
                <w:kern w:val="2"/>
                <w:sz w:val="20"/>
                <w:szCs w:val="20"/>
                <w:lang w:eastAsia="zh-CN" w:bidi="ar-SA"/>
              </w:rPr>
              <w:t>书面允许，</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不得用于与本合同约定目的无关的项目，且不得随意向外散播或允许他人使用。</w:t>
            </w:r>
          </w:p>
          <w:p w14:paraId="5A344B1F">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val="en-US" w:eastAsia="zh-CN" w:bidi="ar-SA"/>
              </w:rPr>
              <w:t>2</w:t>
            </w:r>
            <w:r>
              <w:rPr>
                <w:rFonts w:hint="eastAsia" w:ascii="宋体" w:hAnsi="宋体" w:eastAsia="宋体" w:cs="宋体"/>
                <w:bCs/>
                <w:color w:val="000000"/>
                <w:kern w:val="2"/>
                <w:sz w:val="20"/>
                <w:szCs w:val="20"/>
                <w:lang w:eastAsia="zh-CN" w:bidi="ar-SA"/>
              </w:rPr>
              <w:t>.</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对采购人所有资料具有保密义务，</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对本</w:t>
            </w:r>
            <w:r>
              <w:rPr>
                <w:rFonts w:hint="eastAsia" w:ascii="宋体" w:hAnsi="宋体" w:eastAsia="宋体" w:cs="宋体"/>
                <w:bCs/>
                <w:color w:val="000000"/>
                <w:kern w:val="2"/>
                <w:sz w:val="20"/>
                <w:szCs w:val="20"/>
                <w:lang w:val="en-US" w:eastAsia="zh-CN" w:bidi="ar-SA"/>
              </w:rPr>
              <w:t>项目</w:t>
            </w:r>
            <w:r>
              <w:rPr>
                <w:rFonts w:hint="eastAsia" w:ascii="宋体" w:hAnsi="宋体" w:eastAsia="宋体" w:cs="宋体"/>
                <w:bCs/>
                <w:color w:val="000000"/>
                <w:kern w:val="2"/>
                <w:sz w:val="20"/>
                <w:szCs w:val="20"/>
                <w:lang w:eastAsia="zh-CN" w:bidi="ar-SA"/>
              </w:rPr>
              <w:t>委托事项及成果具有保密义务，若采购人及</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双方其中一方涉密，一切法律责任和经济损失由涉密方负责，并向另一方作出相应赔偿。</w:t>
            </w:r>
          </w:p>
          <w:p w14:paraId="49331BF2">
            <w:pPr>
              <w:pStyle w:val="2"/>
              <w:keepNext w:val="0"/>
              <w:keepLines w:val="0"/>
              <w:pageBreakBefore w:val="0"/>
              <w:widowControl w:val="0"/>
              <w:numPr>
                <w:ilvl w:val="0"/>
                <w:numId w:val="2"/>
              </w:numPr>
              <w:kinsoku/>
              <w:wordWrap/>
              <w:overflowPunct/>
              <w:topLinePunct w:val="0"/>
              <w:autoSpaceDE/>
              <w:autoSpaceDN/>
              <w:bidi w:val="0"/>
              <w:adjustRightInd/>
              <w:snapToGrid/>
              <w:spacing w:afterAutospacing="0" w:line="240" w:lineRule="auto"/>
              <w:ind w:firstLine="0" w:firstLineChars="0"/>
              <w:jc w:val="left"/>
              <w:textAlignment w:val="auto"/>
              <w:rPr>
                <w:rFonts w:hint="eastAsia" w:ascii="宋体" w:hAnsi="宋体" w:eastAsia="宋体" w:cs="宋体"/>
                <w:bCs/>
                <w:color w:val="000000"/>
                <w:kern w:val="2"/>
                <w:sz w:val="20"/>
                <w:szCs w:val="20"/>
              </w:rPr>
            </w:pPr>
            <w:r>
              <w:rPr>
                <w:rFonts w:hint="eastAsia" w:ascii="宋体" w:hAnsi="宋体" w:eastAsia="宋体" w:cs="宋体"/>
                <w:bCs/>
                <w:color w:val="000000"/>
                <w:kern w:val="2"/>
                <w:sz w:val="20"/>
                <w:szCs w:val="20"/>
              </w:rPr>
              <w:t>知识产权合规承诺</w:t>
            </w:r>
          </w:p>
          <w:p w14:paraId="4D6A7E96">
            <w:pPr>
              <w:pStyle w:val="7"/>
              <w:keepNext w:val="0"/>
              <w:keepLines w:val="0"/>
              <w:pageBreakBefore w:val="0"/>
              <w:numPr>
                <w:ilvl w:val="0"/>
                <w:numId w:val="0"/>
              </w:numPr>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strike w:val="0"/>
                <w:color w:val="000000"/>
                <w:kern w:val="2"/>
                <w:sz w:val="20"/>
                <w:szCs w:val="20"/>
                <w:lang w:eastAsia="zh-CN" w:bidi="ar-SA"/>
              </w:rPr>
            </w:pPr>
            <w:r>
              <w:rPr>
                <w:rFonts w:hint="eastAsia" w:ascii="宋体" w:hAnsi="宋体" w:eastAsia="宋体" w:cs="宋体"/>
                <w:bCs/>
                <w:strike w:val="0"/>
                <w:color w:val="000000"/>
                <w:kern w:val="2"/>
                <w:sz w:val="20"/>
                <w:szCs w:val="20"/>
                <w:lang w:val="en-US" w:eastAsia="zh-CN" w:bidi="ar-SA"/>
              </w:rPr>
              <w:t>1.成交供应商</w:t>
            </w:r>
            <w:r>
              <w:rPr>
                <w:rFonts w:hint="eastAsia" w:ascii="宋体" w:hAnsi="宋体" w:eastAsia="宋体" w:cs="宋体"/>
                <w:bCs/>
                <w:strike w:val="0"/>
                <w:color w:val="000000"/>
                <w:kern w:val="2"/>
                <w:sz w:val="20"/>
                <w:szCs w:val="20"/>
                <w:lang w:eastAsia="zh-CN" w:bidi="ar-SA"/>
              </w:rPr>
              <w:t xml:space="preserve">在履行合同的过程中不得侵犯他人知识产权，不得提供虚假知识产权申请材料或者违背知识产权合规性承诺，否则依法追究其违约等责任，并将其失信违法信息依法纳入公共信用信息系统。 </w:t>
            </w:r>
          </w:p>
          <w:p w14:paraId="69A14F67">
            <w:pPr>
              <w:pStyle w:val="7"/>
              <w:keepNext w:val="0"/>
              <w:keepLines w:val="0"/>
              <w:pageBreakBefore w:val="0"/>
              <w:numPr>
                <w:ilvl w:val="0"/>
                <w:numId w:val="0"/>
              </w:numPr>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eastAsia="zh-CN" w:bidi="ar-SA"/>
              </w:rPr>
              <w:t>2.</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应保证采购人在使用该项目服务、项目成果或其任何一部分时免受第三方提出侵犯其专利、商标、版权等知识产权或商品名称及其他权利的起诉及索赔。若采购人因此被第三方起诉或以其他方式追究责任，</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 xml:space="preserve">应赔偿因采购人被第三方索赔所引起的一切损失，包括但不限于采购人所支付的侵权损害赔偿费、律师费、诉讼费、仲裁费、办案差旅费等因应诉、沟通协调所发生的一切费用。 </w:t>
            </w:r>
          </w:p>
          <w:p w14:paraId="26505CE1">
            <w:pPr>
              <w:pStyle w:val="7"/>
              <w:keepNext w:val="0"/>
              <w:keepLines w:val="0"/>
              <w:pageBreakBefore w:val="0"/>
              <w:numPr>
                <w:ilvl w:val="0"/>
                <w:numId w:val="0"/>
              </w:numPr>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eastAsia="zh-CN" w:bidi="ar-SA"/>
              </w:rPr>
              <w:t>3.</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实施本项目所形成成果的知识产权归采购人所有，未经采购人许可，</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不得随意使用。</w:t>
            </w:r>
          </w:p>
          <w:p w14:paraId="5A1409C1">
            <w:pPr>
              <w:pStyle w:val="2"/>
              <w:keepNext w:val="0"/>
              <w:keepLines w:val="0"/>
              <w:pageBreakBefore w:val="0"/>
              <w:widowControl w:val="0"/>
              <w:numPr>
                <w:ilvl w:val="0"/>
                <w:numId w:val="2"/>
              </w:numPr>
              <w:kinsoku/>
              <w:wordWrap/>
              <w:overflowPunct/>
              <w:topLinePunct w:val="0"/>
              <w:autoSpaceDE/>
              <w:autoSpaceDN/>
              <w:bidi w:val="0"/>
              <w:adjustRightInd/>
              <w:snapToGrid/>
              <w:spacing w:afterAutospacing="0" w:line="240" w:lineRule="auto"/>
              <w:ind w:firstLine="0" w:firstLineChars="0"/>
              <w:jc w:val="left"/>
              <w:textAlignment w:val="auto"/>
              <w:rPr>
                <w:rFonts w:hint="eastAsia" w:ascii="宋体" w:hAnsi="宋体" w:eastAsia="宋体" w:cs="宋体"/>
                <w:b w:val="0"/>
                <w:bCs/>
                <w:color w:val="000000"/>
                <w:kern w:val="2"/>
                <w:sz w:val="20"/>
                <w:szCs w:val="20"/>
                <w:lang w:val="en-US" w:eastAsia="zh-CN"/>
              </w:rPr>
            </w:pPr>
            <w:r>
              <w:rPr>
                <w:rFonts w:hint="eastAsia" w:ascii="宋体" w:hAnsi="宋体" w:eastAsia="宋体" w:cs="宋体"/>
                <w:b w:val="0"/>
                <w:bCs/>
                <w:color w:val="000000"/>
                <w:kern w:val="2"/>
                <w:sz w:val="20"/>
                <w:szCs w:val="20"/>
                <w:lang w:val="en-US" w:eastAsia="zh-CN"/>
              </w:rPr>
              <w:t>其他要求</w:t>
            </w:r>
          </w:p>
          <w:p w14:paraId="3F9542B2">
            <w:pPr>
              <w:pStyle w:val="2"/>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
                <w:bCs/>
                <w:color w:val="000000"/>
                <w:sz w:val="20"/>
                <w:szCs w:val="20"/>
              </w:rPr>
            </w:pPr>
            <w:r>
              <w:rPr>
                <w:rFonts w:hint="eastAsia" w:ascii="宋体" w:hAnsi="宋体" w:eastAsia="宋体" w:cs="宋体"/>
                <w:b w:val="0"/>
                <w:bCs/>
                <w:color w:val="000000"/>
                <w:kern w:val="2"/>
                <w:sz w:val="20"/>
                <w:szCs w:val="20"/>
                <w:lang w:val="en-US" w:eastAsia="zh-CN"/>
              </w:rPr>
              <w:t>对采购人的服务通知，供应商在接报后1小时内响应，4小时内到达现场，48小时内处理完毕。</w:t>
            </w:r>
          </w:p>
          <w:p w14:paraId="66CC8E9F">
            <w:pPr>
              <w:pStyle w:val="2"/>
              <w:keepNext w:val="0"/>
              <w:keepLines w:val="0"/>
              <w:pageBreakBefore w:val="0"/>
              <w:widowControl w:val="0"/>
              <w:numPr>
                <w:ilvl w:val="0"/>
                <w:numId w:val="2"/>
              </w:numPr>
              <w:kinsoku/>
              <w:wordWrap/>
              <w:overflowPunct/>
              <w:topLinePunct w:val="0"/>
              <w:autoSpaceDE/>
              <w:autoSpaceDN/>
              <w:bidi w:val="0"/>
              <w:adjustRightInd/>
              <w:snapToGrid/>
              <w:spacing w:afterAutospacing="0" w:line="240" w:lineRule="auto"/>
              <w:ind w:firstLine="0" w:firstLineChars="0"/>
              <w:jc w:val="left"/>
              <w:textAlignment w:val="auto"/>
              <w:rPr>
                <w:rFonts w:hint="eastAsia" w:ascii="宋体" w:hAnsi="宋体" w:eastAsia="宋体" w:cs="宋体"/>
                <w:b w:val="0"/>
                <w:bCs/>
                <w:color w:val="000000"/>
                <w:kern w:val="2"/>
                <w:sz w:val="20"/>
                <w:szCs w:val="20"/>
              </w:rPr>
            </w:pPr>
            <w:r>
              <w:rPr>
                <w:rFonts w:hint="eastAsia" w:ascii="宋体" w:hAnsi="宋体" w:eastAsia="宋体" w:cs="宋体"/>
                <w:b w:val="0"/>
                <w:bCs/>
                <w:color w:val="000000"/>
                <w:kern w:val="2"/>
                <w:sz w:val="20"/>
                <w:szCs w:val="20"/>
              </w:rPr>
              <w:t>付款方式</w:t>
            </w:r>
          </w:p>
          <w:p w14:paraId="3A6AD4AE">
            <w:pPr>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color w:val="000000"/>
                <w:sz w:val="20"/>
                <w:szCs w:val="20"/>
              </w:rPr>
            </w:pPr>
            <w:r>
              <w:rPr>
                <w:rFonts w:hint="eastAsia" w:ascii="宋体" w:hAnsi="宋体" w:eastAsia="宋体" w:cs="宋体"/>
                <w:color w:val="000000"/>
                <w:sz w:val="20"/>
                <w:szCs w:val="20"/>
                <w:lang w:val="en-US" w:eastAsia="zh-CN"/>
              </w:rPr>
              <w:t>1.</w:t>
            </w:r>
            <w:r>
              <w:rPr>
                <w:rFonts w:hint="eastAsia" w:ascii="宋体" w:hAnsi="宋体" w:eastAsia="宋体" w:cs="宋体"/>
                <w:color w:val="000000"/>
                <w:sz w:val="20"/>
                <w:szCs w:val="20"/>
              </w:rPr>
              <w:t>合同签订后，采购人支付合</w:t>
            </w:r>
            <w:r>
              <w:rPr>
                <w:rFonts w:hint="eastAsia" w:ascii="宋体" w:hAnsi="宋体" w:eastAsia="宋体" w:cs="宋体"/>
                <w:bCs/>
                <w:color w:val="000000"/>
                <w:sz w:val="20"/>
                <w:szCs w:val="20"/>
              </w:rPr>
              <w:t>同总额的30%给成交供应商；成交供应商提交全部养老机构等级评估报告并通过采购人验收后，采购人向成交供应商支付尾款。每期款项支付前，成交供应商均应向采购人提供请款申报材料及相应金额的合法有效的发票，否则，采购人有权拒绝支付相应的款项，并不构成违约。</w:t>
            </w:r>
          </w:p>
          <w:p w14:paraId="6769DB4A">
            <w:pPr>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color w:val="000000"/>
                <w:sz w:val="20"/>
                <w:szCs w:val="20"/>
                <w:lang w:val="en-US" w:eastAsia="zh-CN"/>
              </w:rPr>
              <w:t>2.</w:t>
            </w:r>
            <w:r>
              <w:rPr>
                <w:rFonts w:hint="eastAsia" w:ascii="宋体" w:hAnsi="宋体" w:eastAsia="宋体" w:cs="宋体"/>
                <w:color w:val="000000"/>
                <w:sz w:val="20"/>
                <w:szCs w:val="20"/>
              </w:rPr>
              <w:t xml:space="preserve">因采购人使用的是财政资金，采购人的付款时间为向政府采购支付部门提出办理财政支付申请手续的时间（不含政府财政支付部门审核的时间），在规定时间内提出支付申请手续后即视为采购人已经按期支付。因财政审批等原因造成的付款迟延，不视为采购人违约，成交供应商不得据此怠于履行部分或者全部合同义务。 </w:t>
            </w:r>
          </w:p>
        </w:tc>
        <w:tc>
          <w:tcPr>
            <w:tcW w:w="4978" w:type="dxa"/>
            <w:tcBorders>
              <w:top w:val="single" w:color="000000" w:sz="4" w:space="0"/>
              <w:left w:val="single" w:color="000000" w:sz="4" w:space="0"/>
              <w:bottom w:val="single" w:color="auto" w:sz="4" w:space="0"/>
              <w:right w:val="single" w:color="000000" w:sz="4" w:space="0"/>
            </w:tcBorders>
            <w:shd w:val="clear"/>
            <w:vAlign w:val="center"/>
          </w:tcPr>
          <w:p w14:paraId="32CA855B">
            <w:pPr>
              <w:keepNext w:val="0"/>
              <w:keepLines w:val="0"/>
              <w:pageBreakBefore w:val="0"/>
              <w:widowControl/>
              <w:numPr>
                <w:numId w:val="0"/>
              </w:numPr>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一、采购项目概况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为加快落实《“十四五”国家老龄事业发展和养老服务体系规划》有关目标任务，进一步推进养老机构高质量发展，不断强化标准引领、 规范管理的工作理念，市民政局根据《广东省民政厅关于开展2025年度养老机构等级评定工作的通知》要求，在全市范围内组织动员养老机构积极申报星级评定，经各养老机构自主申报和自评，各县（市、区）民政局初审等环节，截止到8月31日，全市共有25家养老机构申报一星级和二星级养老机构，其中，敬老院18家、福利院1家、民办养老机构6家</w:t>
            </w:r>
            <w:r>
              <w:rPr>
                <w:rFonts w:hint="eastAsia" w:ascii="宋体" w:hAnsi="宋体" w:eastAsia="宋体" w:cs="宋体"/>
                <w:i w:val="0"/>
                <w:iCs w:val="0"/>
                <w:color w:val="000000"/>
                <w:kern w:val="0"/>
                <w:sz w:val="20"/>
                <w:szCs w:val="20"/>
                <w:u w:val="none"/>
                <w:lang w:val="en-US" w:eastAsia="zh-CN" w:bidi="ar"/>
              </w:rPr>
              <w:t>。市民政局拟通过购买服务方式聘请第三方服务机构对这25家养老机构开展资料审核和现场评估。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二、采购需求一览表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序号 采购内容 数量 服务要求 服务期 预算金额（元）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韶关市民政局养老机构等级评定服务项目 1项 详见本项目服务要求 45天，具体时间以签订合同时间为准 ¥125,000.00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注：1.报价超出预算金额的列为无效响应处理。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2.供应商必须对本项目的全部内容进行报价，如有缺漏，将导致无效响应。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3.报价应为人民币含税全包价，包括但不限于人工费、设备费、管理费、利润、税费、安全风险费、责任及交通费等一切费用。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三、工作主要内容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对申报等级评定的25家养老机构开展资料审核和现场评估。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四、工作开展流程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市民政局委托第三方机构（评定机构），对符合申报条件的养老机构实施资料审核和现场评估。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本次养老机构等级评定工作根据《广东省民政厅关于开展2025年度养老机构等级评定工作的通知》要求和相关指导文件按以下程序进行实施。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（一）自评申报。各县（市、区）民政局指导本辖区养老机构按照《广东省民政厅关于开展2025年度养老机构等级评定工作的通知》的要求，开展自评、申报等级评估。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（二）资格审查。评定机构对各地上报的养老机构申报材料进行初审。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（三）实地评估。评定机构组织专家对符合申报条件的养老机构实施现场评估，提出评定意见。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（四）审核复核。市民政局对评定结果进行审核认定并予以公示，公示期为十个工作日；公示期内，市民政局按程序受理对养老机构拟评定结果的复核申请，并做出复核决定。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（五）公布评定结果。对公示期内无异议的，市民政局发布等级评定结果公告，并授予星级养老机构证书和牌匾。</w:t>
            </w:r>
          </w:p>
          <w:p w14:paraId="4F63915D">
            <w:pPr>
              <w:keepNext w:val="0"/>
              <w:keepLines w:val="0"/>
              <w:pageBreakBefore w:val="0"/>
              <w:widowControl w:val="0"/>
              <w:kinsoku/>
              <w:wordWrap/>
              <w:overflowPunct/>
              <w:topLinePunct w:val="0"/>
              <w:autoSpaceDE/>
              <w:autoSpaceDN/>
              <w:bidi w:val="0"/>
              <w:adjustRightInd/>
              <w:snapToGrid/>
              <w:spacing w:afterAutospacing="0" w:line="240" w:lineRule="auto"/>
              <w:ind w:firstLine="0" w:firstLineChars="0"/>
              <w:jc w:val="left"/>
              <w:textAlignment w:val="auto"/>
              <w:rPr>
                <w:rFonts w:hint="eastAsia" w:ascii="宋体" w:hAnsi="宋体" w:eastAsia="宋体" w:cs="宋体"/>
                <w:b/>
                <w:bCs w:val="0"/>
                <w:color w:val="000000"/>
                <w:sz w:val="20"/>
                <w:szCs w:val="20"/>
                <w:highlight w:val="none"/>
                <w:lang w:val="en-US" w:eastAsia="zh-CN"/>
              </w:rPr>
            </w:pPr>
            <w:r>
              <w:rPr>
                <w:rFonts w:hint="eastAsia" w:ascii="宋体" w:hAnsi="宋体" w:eastAsia="宋体" w:cs="宋体"/>
                <w:b/>
                <w:bCs w:val="0"/>
                <w:color w:val="000000"/>
                <w:sz w:val="20"/>
                <w:szCs w:val="20"/>
                <w:highlight w:val="none"/>
                <w:lang w:val="en-US" w:eastAsia="zh-CN"/>
              </w:rPr>
              <w:t>五</w:t>
            </w:r>
            <w:r>
              <w:rPr>
                <w:rFonts w:hint="eastAsia" w:ascii="宋体" w:hAnsi="宋体" w:eastAsia="宋体" w:cs="宋体"/>
                <w:b/>
                <w:bCs w:val="0"/>
                <w:color w:val="000000"/>
                <w:sz w:val="20"/>
                <w:szCs w:val="20"/>
                <w:highlight w:val="none"/>
              </w:rPr>
              <w:t>、</w:t>
            </w:r>
            <w:r>
              <w:rPr>
                <w:rFonts w:hint="eastAsia" w:ascii="宋体" w:hAnsi="宋体" w:eastAsia="宋体" w:cs="宋体"/>
                <w:b/>
                <w:bCs w:val="0"/>
                <w:color w:val="000000"/>
                <w:sz w:val="20"/>
                <w:szCs w:val="20"/>
                <w:highlight w:val="none"/>
                <w:lang w:val="en-US" w:eastAsia="zh-CN"/>
              </w:rPr>
              <w:t>服务要求</w:t>
            </w:r>
          </w:p>
          <w:p w14:paraId="5EA28748">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eastAsia="zh-CN" w:bidi="ar-SA"/>
              </w:rPr>
              <w:t>1.依据</w:t>
            </w:r>
            <w:r>
              <w:rPr>
                <w:rFonts w:hint="eastAsia" w:ascii="宋体" w:hAnsi="宋体" w:eastAsia="宋体" w:cs="宋体"/>
                <w:bCs/>
                <w:color w:val="000000"/>
                <w:kern w:val="2"/>
                <w:sz w:val="20"/>
                <w:szCs w:val="20"/>
                <w:lang w:val="en-US" w:eastAsia="zh-CN" w:bidi="ar-SA"/>
              </w:rPr>
              <w:t>《广东省民政厅关于开展2025年度养老机构等级评定工作的通知》，对参评的养老机构进行评价并形成评价报告，交付给采购人</w:t>
            </w:r>
            <w:r>
              <w:rPr>
                <w:rFonts w:hint="eastAsia" w:ascii="宋体" w:hAnsi="宋体" w:eastAsia="宋体" w:cs="宋体"/>
                <w:bCs/>
                <w:color w:val="000000"/>
                <w:kern w:val="2"/>
                <w:sz w:val="20"/>
                <w:szCs w:val="20"/>
                <w:lang w:eastAsia="zh-CN" w:bidi="ar-SA"/>
              </w:rPr>
              <w:t>；</w:t>
            </w:r>
          </w:p>
          <w:p w14:paraId="42FD6C96">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auto"/>
                <w:kern w:val="2"/>
                <w:sz w:val="20"/>
                <w:szCs w:val="20"/>
                <w:lang w:eastAsia="zh-CN" w:bidi="ar-SA"/>
              </w:rPr>
            </w:pPr>
            <w:r>
              <w:rPr>
                <w:rFonts w:hint="eastAsia" w:ascii="宋体" w:hAnsi="宋体" w:eastAsia="宋体" w:cs="宋体"/>
                <w:bCs/>
                <w:color w:val="auto"/>
                <w:kern w:val="2"/>
                <w:sz w:val="20"/>
                <w:szCs w:val="20"/>
                <w:lang w:val="en-US" w:eastAsia="zh-CN" w:bidi="ar-SA"/>
              </w:rPr>
              <w:t>2</w:t>
            </w:r>
            <w:r>
              <w:rPr>
                <w:rFonts w:hint="eastAsia" w:ascii="宋体" w:hAnsi="宋体" w:eastAsia="宋体" w:cs="宋体"/>
                <w:bCs/>
                <w:color w:val="auto"/>
                <w:kern w:val="2"/>
                <w:sz w:val="20"/>
                <w:szCs w:val="20"/>
                <w:lang w:eastAsia="zh-CN" w:bidi="ar-SA"/>
              </w:rPr>
              <w:t>.每次评价活动的评价组成员不少于4人，其中</w:t>
            </w:r>
            <w:r>
              <w:rPr>
                <w:rFonts w:hint="eastAsia" w:ascii="宋体" w:hAnsi="宋体" w:eastAsia="宋体" w:cs="宋体"/>
                <w:bCs/>
                <w:color w:val="auto"/>
                <w:kern w:val="0"/>
                <w:sz w:val="20"/>
                <w:szCs w:val="20"/>
                <w:highlight w:val="none"/>
              </w:rPr>
              <w:t>3名专家</w:t>
            </w:r>
            <w:r>
              <w:rPr>
                <w:rFonts w:hint="eastAsia" w:ascii="宋体" w:hAnsi="宋体" w:eastAsia="宋体" w:cs="宋体"/>
                <w:bCs/>
                <w:color w:val="auto"/>
                <w:kern w:val="0"/>
                <w:sz w:val="20"/>
                <w:szCs w:val="20"/>
                <w:highlight w:val="none"/>
                <w:lang w:eastAsia="zh-CN"/>
              </w:rPr>
              <w:t>（民政部门认定专家库成员）</w:t>
            </w:r>
            <w:r>
              <w:rPr>
                <w:rFonts w:hint="eastAsia" w:ascii="宋体" w:hAnsi="宋体" w:eastAsia="宋体" w:cs="宋体"/>
                <w:bCs/>
                <w:color w:val="auto"/>
                <w:kern w:val="0"/>
                <w:sz w:val="20"/>
                <w:szCs w:val="20"/>
                <w:highlight w:val="none"/>
              </w:rPr>
              <w:t>及1名助理</w:t>
            </w:r>
            <w:r>
              <w:rPr>
                <w:rFonts w:hint="eastAsia" w:ascii="宋体" w:hAnsi="宋体" w:eastAsia="宋体" w:cs="宋体"/>
                <w:bCs/>
                <w:color w:val="auto"/>
                <w:kern w:val="2"/>
                <w:sz w:val="20"/>
                <w:szCs w:val="20"/>
                <w:lang w:eastAsia="zh-CN" w:bidi="ar-SA"/>
              </w:rPr>
              <w:t>。</w:t>
            </w:r>
          </w:p>
          <w:p w14:paraId="25AE1FF4">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val="en-US" w:eastAsia="zh-CN" w:bidi="ar-SA"/>
              </w:rPr>
              <w:t>3</w:t>
            </w:r>
            <w:r>
              <w:rPr>
                <w:rFonts w:hint="eastAsia" w:ascii="宋体" w:hAnsi="宋体" w:eastAsia="宋体" w:cs="宋体"/>
                <w:bCs/>
                <w:color w:val="000000"/>
                <w:kern w:val="2"/>
                <w:sz w:val="20"/>
                <w:szCs w:val="20"/>
                <w:lang w:eastAsia="zh-CN" w:bidi="ar-SA"/>
              </w:rPr>
              <w:t>.</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在评价活动过程中不得具有任何形式的</w:t>
            </w:r>
            <w:r>
              <w:rPr>
                <w:rFonts w:hint="eastAsia" w:ascii="宋体" w:hAnsi="宋体" w:eastAsia="宋体" w:cs="宋体"/>
                <w:bCs/>
                <w:color w:val="000000"/>
                <w:kern w:val="2"/>
                <w:sz w:val="20"/>
                <w:szCs w:val="20"/>
                <w:u w:val="none"/>
                <w:lang w:eastAsia="zh-CN" w:bidi="ar-SA"/>
              </w:rPr>
              <w:t>歧视</w:t>
            </w:r>
            <w:r>
              <w:rPr>
                <w:rFonts w:hint="eastAsia" w:ascii="宋体" w:hAnsi="宋体" w:eastAsia="宋体" w:cs="宋体"/>
                <w:bCs/>
                <w:color w:val="000000"/>
                <w:kern w:val="2"/>
                <w:sz w:val="20"/>
                <w:szCs w:val="20"/>
                <w:lang w:eastAsia="zh-CN" w:bidi="ar-SA"/>
              </w:rPr>
              <w:t>，如加快或拖延评价申请的处理等隐性的歧视行为。</w:t>
            </w:r>
          </w:p>
          <w:p w14:paraId="586F56A8">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val="en-US" w:eastAsia="zh-CN" w:bidi="ar-SA"/>
              </w:rPr>
              <w:t>4</w:t>
            </w:r>
            <w:r>
              <w:rPr>
                <w:rFonts w:hint="eastAsia" w:ascii="宋体" w:hAnsi="宋体" w:eastAsia="宋体" w:cs="宋体"/>
                <w:bCs/>
                <w:color w:val="000000"/>
                <w:kern w:val="2"/>
                <w:sz w:val="20"/>
                <w:szCs w:val="20"/>
                <w:lang w:eastAsia="zh-CN" w:bidi="ar-SA"/>
              </w:rPr>
              <w:t>.等级评定活动完成后，对参评养老机构进行指导点评。等级评定完成后，</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应将评价过程中涉及养老机构的所有评价资料移交</w:t>
            </w:r>
            <w:r>
              <w:rPr>
                <w:rFonts w:hint="eastAsia" w:ascii="宋体" w:hAnsi="宋体" w:eastAsia="宋体" w:cs="宋体"/>
                <w:bCs/>
                <w:color w:val="000000"/>
                <w:kern w:val="2"/>
                <w:sz w:val="20"/>
                <w:szCs w:val="20"/>
                <w:lang w:val="en-US" w:eastAsia="zh-CN" w:bidi="ar-SA"/>
              </w:rPr>
              <w:t>采购人</w:t>
            </w:r>
            <w:r>
              <w:rPr>
                <w:rFonts w:hint="eastAsia" w:ascii="宋体" w:hAnsi="宋体" w:eastAsia="宋体" w:cs="宋体"/>
                <w:bCs/>
                <w:color w:val="000000"/>
                <w:kern w:val="2"/>
                <w:sz w:val="20"/>
                <w:szCs w:val="20"/>
                <w:lang w:eastAsia="zh-CN" w:bidi="ar-SA"/>
              </w:rPr>
              <w:t>。对涉及养老机构的服务质量、商业模式、财务营收、入住老人数据等有关信息应当保密，未经韶关市民政局同意，不得用作星级评定工作以外的其他用途。</w:t>
            </w:r>
          </w:p>
          <w:p w14:paraId="2B6EDD28">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val="en-US" w:eastAsia="zh-CN" w:bidi="ar-SA"/>
              </w:rPr>
              <w:t>5</w:t>
            </w:r>
            <w:r>
              <w:rPr>
                <w:rFonts w:hint="eastAsia" w:ascii="宋体" w:hAnsi="宋体" w:eastAsia="宋体" w:cs="宋体"/>
                <w:bCs/>
                <w:color w:val="000000"/>
                <w:kern w:val="2"/>
                <w:sz w:val="20"/>
                <w:szCs w:val="20"/>
                <w:lang w:eastAsia="zh-CN" w:bidi="ar-SA"/>
              </w:rPr>
              <w:t>.</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需承诺在限定时间内完成</w:t>
            </w:r>
            <w:r>
              <w:rPr>
                <w:rFonts w:hint="eastAsia" w:ascii="宋体" w:hAnsi="宋体" w:eastAsia="宋体" w:cs="宋体"/>
                <w:bCs/>
                <w:color w:val="000000"/>
                <w:kern w:val="2"/>
                <w:sz w:val="20"/>
                <w:szCs w:val="20"/>
                <w:lang w:val="en-US" w:eastAsia="zh-CN" w:bidi="ar-SA"/>
              </w:rPr>
              <w:t>25家</w:t>
            </w:r>
            <w:r>
              <w:rPr>
                <w:rFonts w:hint="eastAsia" w:ascii="宋体" w:hAnsi="宋体" w:eastAsia="宋体" w:cs="宋体"/>
                <w:bCs/>
                <w:color w:val="000000"/>
                <w:kern w:val="2"/>
                <w:sz w:val="20"/>
                <w:szCs w:val="20"/>
                <w:lang w:eastAsia="zh-CN" w:bidi="ar-SA"/>
              </w:rPr>
              <w:t>养老机构评定工作，如需要延长服务时间，需与采购人协商。</w:t>
            </w:r>
          </w:p>
          <w:p w14:paraId="0AF0C5D5">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val="en-US" w:eastAsia="zh-CN" w:bidi="ar-SA"/>
              </w:rPr>
              <w:t>6</w:t>
            </w:r>
            <w:r>
              <w:rPr>
                <w:rFonts w:hint="eastAsia" w:ascii="宋体" w:hAnsi="宋体" w:eastAsia="宋体" w:cs="宋体"/>
                <w:bCs/>
                <w:color w:val="000000"/>
                <w:kern w:val="2"/>
                <w:sz w:val="20"/>
                <w:szCs w:val="20"/>
                <w:lang w:eastAsia="zh-CN" w:bidi="ar-SA"/>
              </w:rPr>
              <w:t>.为保证评价的公正性，</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不得对与其有利害关系、管理关系或同一组织隶属关系的养老机构实施评价活动。</w:t>
            </w:r>
          </w:p>
          <w:p w14:paraId="701A41DB">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val="en-US" w:eastAsia="zh-CN" w:bidi="ar-SA"/>
              </w:rPr>
              <w:t>7</w:t>
            </w:r>
            <w:r>
              <w:rPr>
                <w:rFonts w:hint="eastAsia" w:ascii="宋体" w:hAnsi="宋体" w:eastAsia="宋体" w:cs="宋体"/>
                <w:bCs/>
                <w:color w:val="000000"/>
                <w:kern w:val="2"/>
                <w:sz w:val="20"/>
                <w:szCs w:val="20"/>
                <w:lang w:eastAsia="zh-CN" w:bidi="ar-SA"/>
              </w:rPr>
              <w:t>.在项目实施过程中，如有特殊困难确需调整，经采购人同意后可做适当调整。</w:t>
            </w:r>
          </w:p>
          <w:p w14:paraId="4D14D609">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val="en-US" w:eastAsia="zh-CN" w:bidi="ar-SA"/>
              </w:rPr>
              <w:t>8</w:t>
            </w:r>
            <w:r>
              <w:rPr>
                <w:rFonts w:hint="eastAsia" w:ascii="宋体" w:hAnsi="宋体" w:eastAsia="宋体" w:cs="宋体"/>
                <w:bCs/>
                <w:color w:val="000000"/>
                <w:kern w:val="2"/>
                <w:sz w:val="20"/>
                <w:szCs w:val="20"/>
                <w:lang w:eastAsia="zh-CN" w:bidi="ar-SA"/>
              </w:rPr>
              <w:t>.</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不得以任何方式转包、分包或挂靠本项目；如发现中标人以转包、分包或挂靠的方式谋取中标，采购人有权解除合同。</w:t>
            </w:r>
          </w:p>
          <w:p w14:paraId="1A8BD9B8">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val="en-US" w:eastAsia="zh-CN" w:bidi="ar-SA"/>
              </w:rPr>
              <w:t>9</w:t>
            </w:r>
            <w:r>
              <w:rPr>
                <w:rFonts w:hint="eastAsia" w:ascii="宋体" w:hAnsi="宋体" w:eastAsia="宋体" w:cs="宋体"/>
                <w:bCs/>
                <w:color w:val="000000"/>
                <w:kern w:val="2"/>
                <w:sz w:val="20"/>
                <w:szCs w:val="20"/>
                <w:lang w:eastAsia="zh-CN" w:bidi="ar-SA"/>
              </w:rPr>
              <w:t>.</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在有效服务期内如不能满足采购需求及采购合同的相关要求，或没有实现</w:t>
            </w:r>
            <w:r>
              <w:rPr>
                <w:rFonts w:hint="eastAsia" w:ascii="宋体" w:hAnsi="宋体" w:eastAsia="宋体" w:cs="宋体"/>
                <w:bCs/>
                <w:color w:val="auto"/>
                <w:kern w:val="2"/>
                <w:sz w:val="20"/>
                <w:szCs w:val="20"/>
                <w:u w:val="none"/>
                <w:lang w:eastAsia="zh-CN" w:bidi="ar-SA"/>
              </w:rPr>
              <w:t>响应</w:t>
            </w:r>
            <w:r>
              <w:rPr>
                <w:rFonts w:hint="eastAsia" w:ascii="宋体" w:hAnsi="宋体" w:eastAsia="宋体" w:cs="宋体"/>
                <w:bCs/>
                <w:color w:val="auto"/>
                <w:kern w:val="2"/>
                <w:sz w:val="20"/>
                <w:szCs w:val="20"/>
                <w:u w:val="none"/>
                <w:lang w:val="en-US" w:eastAsia="zh-CN" w:bidi="ar-SA"/>
              </w:rPr>
              <w:t>需求文件</w:t>
            </w:r>
            <w:r>
              <w:rPr>
                <w:rFonts w:hint="eastAsia" w:ascii="宋体" w:hAnsi="宋体" w:eastAsia="宋体" w:cs="宋体"/>
                <w:bCs/>
                <w:color w:val="auto"/>
                <w:kern w:val="2"/>
                <w:sz w:val="20"/>
                <w:szCs w:val="20"/>
                <w:lang w:eastAsia="zh-CN" w:bidi="ar-SA"/>
              </w:rPr>
              <w:t>中</w:t>
            </w:r>
            <w:r>
              <w:rPr>
                <w:rFonts w:hint="eastAsia" w:ascii="宋体" w:hAnsi="宋体" w:eastAsia="宋体" w:cs="宋体"/>
                <w:bCs/>
                <w:color w:val="000000"/>
                <w:kern w:val="2"/>
                <w:sz w:val="20"/>
                <w:szCs w:val="20"/>
                <w:lang w:eastAsia="zh-CN" w:bidi="ar-SA"/>
              </w:rPr>
              <w:t>的相关承诺，采购</w:t>
            </w:r>
            <w:r>
              <w:rPr>
                <w:rFonts w:hint="eastAsia" w:ascii="宋体" w:hAnsi="宋体" w:eastAsia="宋体" w:cs="宋体"/>
                <w:bCs/>
                <w:color w:val="000000"/>
                <w:kern w:val="2"/>
                <w:sz w:val="20"/>
                <w:szCs w:val="20"/>
                <w:lang w:val="en-US" w:eastAsia="zh-CN" w:bidi="ar-SA"/>
              </w:rPr>
              <w:t>人</w:t>
            </w:r>
            <w:r>
              <w:rPr>
                <w:rFonts w:hint="eastAsia" w:ascii="宋体" w:hAnsi="宋体" w:eastAsia="宋体" w:cs="宋体"/>
                <w:bCs/>
                <w:color w:val="000000"/>
                <w:kern w:val="2"/>
                <w:sz w:val="20"/>
                <w:szCs w:val="20"/>
                <w:lang w:eastAsia="zh-CN" w:bidi="ar-SA"/>
              </w:rPr>
              <w:t>有权单方面解除合作，并保留追究其法律责任的权利。</w:t>
            </w:r>
          </w:p>
          <w:p w14:paraId="1F0BD578">
            <w:pPr>
              <w:keepNext w:val="0"/>
              <w:keepLines w:val="0"/>
              <w:pageBreakBefore w:val="0"/>
              <w:widowControl w:val="0"/>
              <w:numPr>
                <w:ilvl w:val="0"/>
                <w:numId w:val="0"/>
              </w:numPr>
              <w:kinsoku/>
              <w:wordWrap/>
              <w:overflowPunct/>
              <w:topLinePunct w:val="0"/>
              <w:autoSpaceDE/>
              <w:autoSpaceDN/>
              <w:bidi w:val="0"/>
              <w:adjustRightInd/>
              <w:snapToGrid/>
              <w:spacing w:afterAutospacing="0" w:line="240" w:lineRule="auto"/>
              <w:ind w:firstLine="0" w:firstLineChars="0"/>
              <w:jc w:val="left"/>
              <w:textAlignment w:val="auto"/>
              <w:rPr>
                <w:rFonts w:hint="eastAsia" w:ascii="宋体" w:hAnsi="宋体" w:eastAsia="宋体" w:cs="宋体"/>
                <w:b/>
                <w:bCs/>
                <w:sz w:val="20"/>
                <w:szCs w:val="20"/>
                <w:lang w:val="en-US" w:eastAsia="zh-CN"/>
              </w:rPr>
            </w:pPr>
            <w:r>
              <w:rPr>
                <w:rFonts w:hint="eastAsia" w:ascii="宋体" w:hAnsi="宋体" w:eastAsia="宋体" w:cs="宋体"/>
                <w:b/>
                <w:bCs/>
                <w:sz w:val="20"/>
                <w:szCs w:val="20"/>
                <w:lang w:val="en-US" w:eastAsia="zh-CN"/>
              </w:rPr>
              <w:t>六、商务要求</w:t>
            </w:r>
          </w:p>
          <w:p w14:paraId="64B946D8">
            <w:pPr>
              <w:pStyle w:val="2"/>
              <w:keepNext w:val="0"/>
              <w:keepLines w:val="0"/>
              <w:pageBreakBefore w:val="0"/>
              <w:widowControl w:val="0"/>
              <w:kinsoku/>
              <w:wordWrap/>
              <w:overflowPunct/>
              <w:topLinePunct w:val="0"/>
              <w:autoSpaceDE/>
              <w:autoSpaceDN/>
              <w:bidi w:val="0"/>
              <w:adjustRightInd/>
              <w:snapToGrid/>
              <w:spacing w:afterAutospacing="0" w:line="240" w:lineRule="auto"/>
              <w:ind w:firstLine="0" w:firstLineChars="0"/>
              <w:jc w:val="left"/>
              <w:textAlignment w:val="auto"/>
              <w:rPr>
                <w:rFonts w:hint="eastAsia" w:ascii="宋体" w:hAnsi="宋体" w:eastAsia="宋体" w:cs="宋体"/>
                <w:bCs/>
                <w:color w:val="000000"/>
                <w:kern w:val="2"/>
                <w:sz w:val="20"/>
                <w:szCs w:val="20"/>
                <w:lang w:val="en-US" w:eastAsia="zh-CN"/>
              </w:rPr>
            </w:pPr>
            <w:r>
              <w:rPr>
                <w:rFonts w:hint="eastAsia" w:ascii="宋体" w:hAnsi="宋体" w:eastAsia="宋体" w:cs="宋体"/>
                <w:bCs/>
                <w:color w:val="000000"/>
                <w:kern w:val="2"/>
                <w:sz w:val="20"/>
                <w:szCs w:val="20"/>
                <w:lang w:eastAsia="zh-CN"/>
              </w:rPr>
              <w:t>（</w:t>
            </w:r>
            <w:r>
              <w:rPr>
                <w:rFonts w:hint="eastAsia" w:ascii="宋体" w:hAnsi="宋体" w:eastAsia="宋体" w:cs="宋体"/>
                <w:bCs/>
                <w:color w:val="000000"/>
                <w:kern w:val="2"/>
                <w:sz w:val="20"/>
                <w:szCs w:val="20"/>
                <w:lang w:val="en-US" w:eastAsia="zh-CN"/>
              </w:rPr>
              <w:t>一</w:t>
            </w:r>
            <w:r>
              <w:rPr>
                <w:rFonts w:hint="eastAsia" w:ascii="宋体" w:hAnsi="宋体" w:eastAsia="宋体" w:cs="宋体"/>
                <w:bCs/>
                <w:color w:val="000000"/>
                <w:kern w:val="2"/>
                <w:sz w:val="20"/>
                <w:szCs w:val="20"/>
                <w:lang w:eastAsia="zh-CN"/>
              </w:rPr>
              <w:t>）服务期：</w:t>
            </w:r>
            <w:r>
              <w:rPr>
                <w:rFonts w:hint="eastAsia" w:ascii="宋体" w:hAnsi="宋体" w:eastAsia="宋体" w:cs="宋体"/>
                <w:bCs/>
                <w:color w:val="000000"/>
                <w:kern w:val="2"/>
                <w:sz w:val="20"/>
                <w:szCs w:val="20"/>
                <w:lang w:val="en-US" w:eastAsia="zh-CN"/>
              </w:rPr>
              <w:t>45天，具体时间以签订合同时间为准。</w:t>
            </w:r>
          </w:p>
          <w:p w14:paraId="73D7FA37">
            <w:pPr>
              <w:pStyle w:val="2"/>
              <w:keepNext w:val="0"/>
              <w:keepLines w:val="0"/>
              <w:pageBreakBefore w:val="0"/>
              <w:widowControl w:val="0"/>
              <w:kinsoku/>
              <w:wordWrap/>
              <w:overflowPunct/>
              <w:topLinePunct w:val="0"/>
              <w:autoSpaceDE/>
              <w:autoSpaceDN/>
              <w:bidi w:val="0"/>
              <w:adjustRightInd/>
              <w:snapToGrid/>
              <w:spacing w:afterAutospacing="0" w:line="240" w:lineRule="auto"/>
              <w:ind w:firstLine="0" w:firstLineChars="0"/>
              <w:jc w:val="left"/>
              <w:textAlignment w:val="auto"/>
              <w:rPr>
                <w:rFonts w:hint="eastAsia" w:ascii="宋体" w:hAnsi="宋体" w:eastAsia="宋体" w:cs="宋体"/>
                <w:bCs/>
                <w:color w:val="000000"/>
                <w:kern w:val="2"/>
                <w:sz w:val="20"/>
                <w:szCs w:val="20"/>
                <w:lang w:val="en-US" w:eastAsia="zh-CN"/>
              </w:rPr>
            </w:pPr>
            <w:r>
              <w:rPr>
                <w:rFonts w:hint="eastAsia" w:ascii="宋体" w:hAnsi="宋体" w:eastAsia="宋体" w:cs="宋体"/>
                <w:bCs/>
                <w:color w:val="000000"/>
                <w:kern w:val="2"/>
                <w:sz w:val="20"/>
                <w:szCs w:val="20"/>
                <w:lang w:val="en-US" w:eastAsia="zh-CN"/>
              </w:rPr>
              <w:t>（二）服务地点：按采购人指定地点。</w:t>
            </w:r>
          </w:p>
          <w:p w14:paraId="59BA05B4">
            <w:pPr>
              <w:pStyle w:val="2"/>
              <w:keepNext w:val="0"/>
              <w:keepLines w:val="0"/>
              <w:pageBreakBefore w:val="0"/>
              <w:widowControl w:val="0"/>
              <w:kinsoku/>
              <w:wordWrap/>
              <w:overflowPunct/>
              <w:topLinePunct w:val="0"/>
              <w:autoSpaceDE/>
              <w:autoSpaceDN/>
              <w:bidi w:val="0"/>
              <w:adjustRightInd/>
              <w:snapToGrid/>
              <w:spacing w:afterAutospacing="0" w:line="240" w:lineRule="auto"/>
              <w:ind w:firstLine="0" w:firstLineChars="0"/>
              <w:jc w:val="left"/>
              <w:textAlignment w:val="auto"/>
              <w:rPr>
                <w:rFonts w:hint="eastAsia" w:ascii="宋体" w:hAnsi="宋体" w:eastAsia="宋体" w:cs="宋体"/>
                <w:bCs/>
                <w:color w:val="000000"/>
                <w:kern w:val="2"/>
                <w:sz w:val="20"/>
                <w:szCs w:val="20"/>
                <w:lang w:val="en-US" w:eastAsia="zh-CN"/>
              </w:rPr>
            </w:pPr>
            <w:r>
              <w:rPr>
                <w:rFonts w:hint="eastAsia" w:ascii="宋体" w:hAnsi="宋体" w:eastAsia="宋体" w:cs="宋体"/>
                <w:bCs/>
                <w:color w:val="000000"/>
                <w:kern w:val="2"/>
                <w:sz w:val="20"/>
                <w:szCs w:val="20"/>
                <w:lang w:val="en-US" w:eastAsia="zh-CN"/>
              </w:rPr>
              <w:t>（三）验收要求</w:t>
            </w:r>
          </w:p>
          <w:p w14:paraId="7C88C8AE">
            <w:pPr>
              <w:pStyle w:val="2"/>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val="en-US" w:eastAsia="zh-CN"/>
              </w:rPr>
            </w:pPr>
            <w:r>
              <w:rPr>
                <w:rFonts w:hint="eastAsia" w:ascii="宋体" w:hAnsi="宋体" w:eastAsia="宋体" w:cs="宋体"/>
                <w:bCs/>
                <w:color w:val="000000"/>
                <w:kern w:val="2"/>
                <w:sz w:val="20"/>
                <w:szCs w:val="20"/>
                <w:lang w:val="en-US" w:eastAsia="zh-CN"/>
              </w:rPr>
              <w:t>采购人对成交供应商提交的成果进行整体验收。</w:t>
            </w:r>
          </w:p>
          <w:p w14:paraId="1F2FA795">
            <w:pPr>
              <w:pStyle w:val="2"/>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val="en-US" w:eastAsia="zh-CN"/>
              </w:rPr>
            </w:pPr>
            <w:r>
              <w:rPr>
                <w:rFonts w:hint="eastAsia" w:ascii="宋体" w:hAnsi="宋体" w:eastAsia="宋体" w:cs="宋体"/>
                <w:bCs/>
                <w:color w:val="000000"/>
                <w:kern w:val="2"/>
                <w:sz w:val="20"/>
                <w:szCs w:val="20"/>
                <w:lang w:val="en-US" w:eastAsia="zh-CN"/>
              </w:rPr>
              <w:t>采购人</w:t>
            </w:r>
            <w:r>
              <w:rPr>
                <w:rFonts w:hint="eastAsia" w:ascii="宋体" w:hAnsi="宋体" w:eastAsia="宋体" w:cs="宋体"/>
                <w:bCs/>
                <w:strike w:val="0"/>
                <w:color w:val="000000"/>
                <w:kern w:val="2"/>
                <w:sz w:val="20"/>
                <w:szCs w:val="20"/>
                <w:lang w:val="en-US" w:eastAsia="zh-CN"/>
              </w:rPr>
              <w:t>将组织工作人员对成交供应商的等级评价活动进行实地抽查，抽查率不低于5%。</w:t>
            </w:r>
            <w:r>
              <w:rPr>
                <w:rFonts w:hint="eastAsia" w:ascii="宋体" w:hAnsi="宋体" w:eastAsia="宋体" w:cs="宋体"/>
                <w:bCs/>
                <w:color w:val="000000"/>
                <w:kern w:val="2"/>
                <w:sz w:val="20"/>
                <w:szCs w:val="20"/>
                <w:lang w:val="en-US" w:eastAsia="zh-CN"/>
              </w:rPr>
              <w:t>对违反评价活动公正性原则、无歧视原则、保密原则、尊重原则以及不具备评价能力的第三方评估机构采购人将中止合同关系。性质恶劣、情节严重的，将依法列入广东省政府采购目录黑名单并依法追究其责任。</w:t>
            </w:r>
          </w:p>
          <w:p w14:paraId="7755B973">
            <w:pPr>
              <w:pStyle w:val="2"/>
              <w:keepNext w:val="0"/>
              <w:keepLines w:val="0"/>
              <w:pageBreakBefore w:val="0"/>
              <w:widowControl w:val="0"/>
              <w:numPr>
                <w:ilvl w:val="0"/>
                <w:numId w:val="2"/>
              </w:numPr>
              <w:kinsoku/>
              <w:wordWrap/>
              <w:overflowPunct/>
              <w:topLinePunct w:val="0"/>
              <w:autoSpaceDE/>
              <w:autoSpaceDN/>
              <w:bidi w:val="0"/>
              <w:adjustRightInd/>
              <w:snapToGrid/>
              <w:spacing w:afterAutospacing="0" w:line="240" w:lineRule="auto"/>
              <w:ind w:firstLine="0" w:firstLineChars="0"/>
              <w:jc w:val="left"/>
              <w:textAlignment w:val="auto"/>
              <w:rPr>
                <w:rFonts w:hint="eastAsia" w:ascii="宋体" w:hAnsi="宋体" w:eastAsia="宋体" w:cs="宋体"/>
                <w:bCs/>
                <w:color w:val="000000"/>
                <w:kern w:val="2"/>
                <w:sz w:val="20"/>
                <w:szCs w:val="20"/>
                <w:lang w:val="en-US" w:eastAsia="zh-CN"/>
              </w:rPr>
            </w:pPr>
            <w:r>
              <w:rPr>
                <w:rFonts w:hint="eastAsia" w:ascii="宋体" w:hAnsi="宋体" w:eastAsia="宋体" w:cs="宋体"/>
                <w:bCs/>
                <w:color w:val="000000"/>
                <w:kern w:val="2"/>
                <w:sz w:val="20"/>
                <w:szCs w:val="20"/>
                <w:lang w:val="en-US" w:eastAsia="zh-CN"/>
              </w:rPr>
              <w:t>保密要求</w:t>
            </w:r>
          </w:p>
          <w:p w14:paraId="5D7A3CD2">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val="en-US" w:eastAsia="zh-CN" w:bidi="ar-SA"/>
              </w:rPr>
              <w:t>1</w:t>
            </w:r>
            <w:r>
              <w:rPr>
                <w:rFonts w:hint="eastAsia" w:ascii="宋体" w:hAnsi="宋体" w:eastAsia="宋体" w:cs="宋体"/>
                <w:bCs/>
                <w:color w:val="000000"/>
                <w:kern w:val="2"/>
                <w:sz w:val="20"/>
                <w:szCs w:val="20"/>
                <w:lang w:eastAsia="zh-CN" w:bidi="ar-SA"/>
              </w:rPr>
              <w:t>.本项目所获得一切数据所有权，归采购人所有；未经采购</w:t>
            </w:r>
            <w:r>
              <w:rPr>
                <w:rFonts w:hint="eastAsia" w:ascii="宋体" w:hAnsi="宋体" w:eastAsia="宋体" w:cs="宋体"/>
                <w:bCs/>
                <w:color w:val="000000"/>
                <w:kern w:val="2"/>
                <w:sz w:val="20"/>
                <w:szCs w:val="20"/>
                <w:lang w:val="en-US" w:eastAsia="zh-CN" w:bidi="ar-SA"/>
              </w:rPr>
              <w:t>人</w:t>
            </w:r>
            <w:r>
              <w:rPr>
                <w:rFonts w:hint="eastAsia" w:ascii="宋体" w:hAnsi="宋体" w:eastAsia="宋体" w:cs="宋体"/>
                <w:bCs/>
                <w:color w:val="000000"/>
                <w:kern w:val="2"/>
                <w:sz w:val="20"/>
                <w:szCs w:val="20"/>
                <w:lang w:eastAsia="zh-CN" w:bidi="ar-SA"/>
              </w:rPr>
              <w:t>书面允许，</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不得用于与本合同约定目的无关的项目，且不得随意向外散播或允许他人使用。</w:t>
            </w:r>
          </w:p>
          <w:p w14:paraId="69F17C45">
            <w:pPr>
              <w:pStyle w:val="7"/>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val="en-US" w:eastAsia="zh-CN" w:bidi="ar-SA"/>
              </w:rPr>
              <w:t>2</w:t>
            </w:r>
            <w:r>
              <w:rPr>
                <w:rFonts w:hint="eastAsia" w:ascii="宋体" w:hAnsi="宋体" w:eastAsia="宋体" w:cs="宋体"/>
                <w:bCs/>
                <w:color w:val="000000"/>
                <w:kern w:val="2"/>
                <w:sz w:val="20"/>
                <w:szCs w:val="20"/>
                <w:lang w:eastAsia="zh-CN" w:bidi="ar-SA"/>
              </w:rPr>
              <w:t>.</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对采购人所有资料具有保密义务，</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对本</w:t>
            </w:r>
            <w:r>
              <w:rPr>
                <w:rFonts w:hint="eastAsia" w:ascii="宋体" w:hAnsi="宋体" w:eastAsia="宋体" w:cs="宋体"/>
                <w:bCs/>
                <w:color w:val="000000"/>
                <w:kern w:val="2"/>
                <w:sz w:val="20"/>
                <w:szCs w:val="20"/>
                <w:lang w:val="en-US" w:eastAsia="zh-CN" w:bidi="ar-SA"/>
              </w:rPr>
              <w:t>项目</w:t>
            </w:r>
            <w:r>
              <w:rPr>
                <w:rFonts w:hint="eastAsia" w:ascii="宋体" w:hAnsi="宋体" w:eastAsia="宋体" w:cs="宋体"/>
                <w:bCs/>
                <w:color w:val="000000"/>
                <w:kern w:val="2"/>
                <w:sz w:val="20"/>
                <w:szCs w:val="20"/>
                <w:lang w:eastAsia="zh-CN" w:bidi="ar-SA"/>
              </w:rPr>
              <w:t>委托事项及成果具有保密义务，若采购人及</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双方其中一方涉密，一切法律责任和经济损失由涉密方负责，并向另一方作出相应赔偿。</w:t>
            </w:r>
          </w:p>
          <w:p w14:paraId="46DC41FD">
            <w:pPr>
              <w:pStyle w:val="2"/>
              <w:keepNext w:val="0"/>
              <w:keepLines w:val="0"/>
              <w:pageBreakBefore w:val="0"/>
              <w:widowControl w:val="0"/>
              <w:numPr>
                <w:ilvl w:val="0"/>
                <w:numId w:val="2"/>
              </w:numPr>
              <w:kinsoku/>
              <w:wordWrap/>
              <w:overflowPunct/>
              <w:topLinePunct w:val="0"/>
              <w:autoSpaceDE/>
              <w:autoSpaceDN/>
              <w:bidi w:val="0"/>
              <w:adjustRightInd/>
              <w:snapToGrid/>
              <w:spacing w:afterAutospacing="0" w:line="240" w:lineRule="auto"/>
              <w:ind w:firstLine="0" w:firstLineChars="0"/>
              <w:jc w:val="left"/>
              <w:textAlignment w:val="auto"/>
              <w:rPr>
                <w:rFonts w:hint="eastAsia" w:ascii="宋体" w:hAnsi="宋体" w:eastAsia="宋体" w:cs="宋体"/>
                <w:bCs/>
                <w:color w:val="000000"/>
                <w:kern w:val="2"/>
                <w:sz w:val="20"/>
                <w:szCs w:val="20"/>
              </w:rPr>
            </w:pPr>
            <w:r>
              <w:rPr>
                <w:rFonts w:hint="eastAsia" w:ascii="宋体" w:hAnsi="宋体" w:eastAsia="宋体" w:cs="宋体"/>
                <w:bCs/>
                <w:color w:val="000000"/>
                <w:kern w:val="2"/>
                <w:sz w:val="20"/>
                <w:szCs w:val="20"/>
              </w:rPr>
              <w:t>知识产权合规承诺</w:t>
            </w:r>
          </w:p>
          <w:p w14:paraId="080ADA40">
            <w:pPr>
              <w:pStyle w:val="7"/>
              <w:keepNext w:val="0"/>
              <w:keepLines w:val="0"/>
              <w:pageBreakBefore w:val="0"/>
              <w:numPr>
                <w:ilvl w:val="0"/>
                <w:numId w:val="0"/>
              </w:numPr>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strike w:val="0"/>
                <w:color w:val="000000"/>
                <w:kern w:val="2"/>
                <w:sz w:val="20"/>
                <w:szCs w:val="20"/>
                <w:lang w:eastAsia="zh-CN" w:bidi="ar-SA"/>
              </w:rPr>
            </w:pPr>
            <w:r>
              <w:rPr>
                <w:rFonts w:hint="eastAsia" w:ascii="宋体" w:hAnsi="宋体" w:eastAsia="宋体" w:cs="宋体"/>
                <w:bCs/>
                <w:strike w:val="0"/>
                <w:color w:val="000000"/>
                <w:kern w:val="2"/>
                <w:sz w:val="20"/>
                <w:szCs w:val="20"/>
                <w:lang w:val="en-US" w:eastAsia="zh-CN" w:bidi="ar-SA"/>
              </w:rPr>
              <w:t>1.成交供应商</w:t>
            </w:r>
            <w:r>
              <w:rPr>
                <w:rFonts w:hint="eastAsia" w:ascii="宋体" w:hAnsi="宋体" w:eastAsia="宋体" w:cs="宋体"/>
                <w:bCs/>
                <w:strike w:val="0"/>
                <w:color w:val="000000"/>
                <w:kern w:val="2"/>
                <w:sz w:val="20"/>
                <w:szCs w:val="20"/>
                <w:lang w:eastAsia="zh-CN" w:bidi="ar-SA"/>
              </w:rPr>
              <w:t xml:space="preserve">在履行合同的过程中不得侵犯他人知识产权，不得提供虚假知识产权申请材料或者违背知识产权合规性承诺，否则依法追究其违约等责任，并将其失信违法信息依法纳入公共信用信息系统。 </w:t>
            </w:r>
          </w:p>
          <w:p w14:paraId="7904E0B0">
            <w:pPr>
              <w:pStyle w:val="7"/>
              <w:keepNext w:val="0"/>
              <w:keepLines w:val="0"/>
              <w:pageBreakBefore w:val="0"/>
              <w:numPr>
                <w:ilvl w:val="0"/>
                <w:numId w:val="0"/>
              </w:numPr>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eastAsia="zh-CN" w:bidi="ar-SA"/>
              </w:rPr>
              <w:t>2.</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应保证采购人在使用该项目服务、项目成果或其任何一部分时免受第三方提出侵犯其专利、商标、版权等知识产权或商品名称及其他权利的起诉及索赔。若采购人因此被第三方起诉或以其他方式追究责任，</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 xml:space="preserve">应赔偿因采购人被第三方索赔所引起的一切损失，包括但不限于采购人所支付的侵权损害赔偿费、律师费、诉讼费、仲裁费、办案差旅费等因应诉、沟通协调所发生的一切费用。 </w:t>
            </w:r>
          </w:p>
          <w:p w14:paraId="6BE32738">
            <w:pPr>
              <w:pStyle w:val="7"/>
              <w:keepNext w:val="0"/>
              <w:keepLines w:val="0"/>
              <w:pageBreakBefore w:val="0"/>
              <w:numPr>
                <w:ilvl w:val="0"/>
                <w:numId w:val="0"/>
              </w:numPr>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Cs/>
                <w:color w:val="000000"/>
                <w:kern w:val="2"/>
                <w:sz w:val="20"/>
                <w:szCs w:val="20"/>
                <w:lang w:eastAsia="zh-CN" w:bidi="ar-SA"/>
              </w:rPr>
            </w:pPr>
            <w:r>
              <w:rPr>
                <w:rFonts w:hint="eastAsia" w:ascii="宋体" w:hAnsi="宋体" w:eastAsia="宋体" w:cs="宋体"/>
                <w:bCs/>
                <w:color w:val="000000"/>
                <w:kern w:val="2"/>
                <w:sz w:val="20"/>
                <w:szCs w:val="20"/>
                <w:lang w:eastAsia="zh-CN" w:bidi="ar-SA"/>
              </w:rPr>
              <w:t>3.</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实施本项目所形成成果的知识产权归采购人所有，未经采购人许可，</w:t>
            </w:r>
            <w:r>
              <w:rPr>
                <w:rFonts w:hint="eastAsia" w:ascii="宋体" w:hAnsi="宋体" w:eastAsia="宋体" w:cs="宋体"/>
                <w:bCs/>
                <w:color w:val="000000"/>
                <w:kern w:val="2"/>
                <w:sz w:val="20"/>
                <w:szCs w:val="20"/>
                <w:lang w:val="en-US" w:eastAsia="zh-CN" w:bidi="ar-SA"/>
              </w:rPr>
              <w:t>成交供应商</w:t>
            </w:r>
            <w:r>
              <w:rPr>
                <w:rFonts w:hint="eastAsia" w:ascii="宋体" w:hAnsi="宋体" w:eastAsia="宋体" w:cs="宋体"/>
                <w:bCs/>
                <w:color w:val="000000"/>
                <w:kern w:val="2"/>
                <w:sz w:val="20"/>
                <w:szCs w:val="20"/>
                <w:lang w:eastAsia="zh-CN" w:bidi="ar-SA"/>
              </w:rPr>
              <w:t>不得随意使用。</w:t>
            </w:r>
          </w:p>
          <w:p w14:paraId="7534A2FF">
            <w:pPr>
              <w:pStyle w:val="2"/>
              <w:keepNext w:val="0"/>
              <w:keepLines w:val="0"/>
              <w:pageBreakBefore w:val="0"/>
              <w:widowControl w:val="0"/>
              <w:numPr>
                <w:ilvl w:val="0"/>
                <w:numId w:val="2"/>
              </w:numPr>
              <w:kinsoku/>
              <w:wordWrap/>
              <w:overflowPunct/>
              <w:topLinePunct w:val="0"/>
              <w:autoSpaceDE/>
              <w:autoSpaceDN/>
              <w:bidi w:val="0"/>
              <w:adjustRightInd/>
              <w:snapToGrid/>
              <w:spacing w:afterAutospacing="0" w:line="240" w:lineRule="auto"/>
              <w:ind w:firstLine="0" w:firstLineChars="0"/>
              <w:jc w:val="left"/>
              <w:textAlignment w:val="auto"/>
              <w:rPr>
                <w:rFonts w:hint="eastAsia" w:ascii="宋体" w:hAnsi="宋体" w:eastAsia="宋体" w:cs="宋体"/>
                <w:b w:val="0"/>
                <w:bCs/>
                <w:color w:val="000000"/>
                <w:kern w:val="2"/>
                <w:sz w:val="20"/>
                <w:szCs w:val="20"/>
                <w:lang w:val="en-US" w:eastAsia="zh-CN"/>
              </w:rPr>
            </w:pPr>
            <w:r>
              <w:rPr>
                <w:rFonts w:hint="eastAsia" w:ascii="宋体" w:hAnsi="宋体" w:eastAsia="宋体" w:cs="宋体"/>
                <w:b w:val="0"/>
                <w:bCs/>
                <w:color w:val="000000"/>
                <w:kern w:val="2"/>
                <w:sz w:val="20"/>
                <w:szCs w:val="20"/>
                <w:lang w:val="en-US" w:eastAsia="zh-CN"/>
              </w:rPr>
              <w:t>其他要求</w:t>
            </w:r>
          </w:p>
          <w:p w14:paraId="5BE539E7">
            <w:pPr>
              <w:pStyle w:val="2"/>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
                <w:bCs/>
                <w:color w:val="000000"/>
                <w:sz w:val="20"/>
                <w:szCs w:val="20"/>
              </w:rPr>
            </w:pPr>
            <w:r>
              <w:rPr>
                <w:rFonts w:hint="eastAsia" w:ascii="宋体" w:hAnsi="宋体" w:eastAsia="宋体" w:cs="宋体"/>
                <w:b w:val="0"/>
                <w:bCs/>
                <w:color w:val="000000"/>
                <w:kern w:val="2"/>
                <w:sz w:val="20"/>
                <w:szCs w:val="20"/>
                <w:lang w:val="en-US" w:eastAsia="zh-CN"/>
              </w:rPr>
              <w:t>对采购人的服务通知，供应商在接报后1小时内响应，4小时内到达现场，48小时内处理完毕。</w:t>
            </w:r>
          </w:p>
          <w:p w14:paraId="323E7223">
            <w:pPr>
              <w:pStyle w:val="2"/>
              <w:keepNext w:val="0"/>
              <w:keepLines w:val="0"/>
              <w:pageBreakBefore w:val="0"/>
              <w:widowControl w:val="0"/>
              <w:numPr>
                <w:ilvl w:val="0"/>
                <w:numId w:val="2"/>
              </w:numPr>
              <w:kinsoku/>
              <w:wordWrap/>
              <w:overflowPunct/>
              <w:topLinePunct w:val="0"/>
              <w:autoSpaceDE/>
              <w:autoSpaceDN/>
              <w:bidi w:val="0"/>
              <w:adjustRightInd/>
              <w:snapToGrid/>
              <w:spacing w:afterAutospacing="0" w:line="240" w:lineRule="auto"/>
              <w:ind w:firstLine="0" w:firstLineChars="0"/>
              <w:jc w:val="left"/>
              <w:textAlignment w:val="auto"/>
              <w:rPr>
                <w:rFonts w:hint="eastAsia" w:ascii="宋体" w:hAnsi="宋体" w:eastAsia="宋体" w:cs="宋体"/>
                <w:b w:val="0"/>
                <w:bCs/>
                <w:color w:val="000000"/>
                <w:kern w:val="2"/>
                <w:sz w:val="20"/>
                <w:szCs w:val="20"/>
              </w:rPr>
            </w:pPr>
            <w:r>
              <w:rPr>
                <w:rFonts w:hint="eastAsia" w:ascii="宋体" w:hAnsi="宋体" w:eastAsia="宋体" w:cs="宋体"/>
                <w:b w:val="0"/>
                <w:bCs/>
                <w:color w:val="000000"/>
                <w:kern w:val="2"/>
                <w:sz w:val="20"/>
                <w:szCs w:val="20"/>
              </w:rPr>
              <w:t>付款方式</w:t>
            </w:r>
          </w:p>
          <w:p w14:paraId="774E165B">
            <w:pPr>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color w:val="000000"/>
                <w:sz w:val="20"/>
                <w:szCs w:val="20"/>
              </w:rPr>
            </w:pPr>
            <w:r>
              <w:rPr>
                <w:rFonts w:hint="eastAsia" w:ascii="宋体" w:hAnsi="宋体" w:eastAsia="宋体" w:cs="宋体"/>
                <w:color w:val="000000"/>
                <w:sz w:val="20"/>
                <w:szCs w:val="20"/>
                <w:lang w:val="en-US" w:eastAsia="zh-CN"/>
              </w:rPr>
              <w:t>1.</w:t>
            </w:r>
            <w:r>
              <w:rPr>
                <w:rFonts w:hint="eastAsia" w:ascii="宋体" w:hAnsi="宋体" w:eastAsia="宋体" w:cs="宋体"/>
                <w:color w:val="000000"/>
                <w:sz w:val="20"/>
                <w:szCs w:val="20"/>
              </w:rPr>
              <w:t>合同签订后，采购人支付合</w:t>
            </w:r>
            <w:r>
              <w:rPr>
                <w:rFonts w:hint="eastAsia" w:ascii="宋体" w:hAnsi="宋体" w:eastAsia="宋体" w:cs="宋体"/>
                <w:bCs/>
                <w:color w:val="000000"/>
                <w:sz w:val="20"/>
                <w:szCs w:val="20"/>
              </w:rPr>
              <w:t>同总额的30%给成交供应商；成交供应商提交全部养老机构等级评估报告并通过采购人验收后，采购人向成交供应商支付尾款。每期款项支付前，成交供应商均应向采购人提供请款申报材料及相应金额的合法有效的发票，否则，采购人有权拒绝支付相应的款项，并不构成违约。</w:t>
            </w:r>
          </w:p>
          <w:p w14:paraId="2B928EED">
            <w:pPr>
              <w:keepNext w:val="0"/>
              <w:keepLines w:val="0"/>
              <w:pageBreakBefore w:val="0"/>
              <w:kinsoku/>
              <w:wordWrap/>
              <w:overflowPunct/>
              <w:topLinePunct w:val="0"/>
              <w:autoSpaceDE/>
              <w:autoSpaceDN/>
              <w:bidi w:val="0"/>
              <w:adjustRightInd/>
              <w:snapToGrid/>
              <w:spacing w:afterAutospacing="0" w:line="240" w:lineRule="auto"/>
              <w:ind w:firstLine="0" w:firstLineChars="0"/>
              <w:jc w:val="left"/>
              <w:rPr>
                <w:rFonts w:hint="eastAsia" w:ascii="宋体" w:hAnsi="宋体" w:eastAsia="宋体" w:cs="宋体"/>
                <w:b/>
                <w:bCs/>
                <w:i w:val="0"/>
                <w:iCs w:val="0"/>
                <w:color w:val="000000"/>
                <w:kern w:val="0"/>
                <w:sz w:val="20"/>
                <w:szCs w:val="20"/>
                <w:u w:val="none"/>
                <w:bdr w:val="none" w:color="auto" w:sz="0" w:space="0"/>
                <w:lang w:val="en-US" w:eastAsia="zh-CN" w:bidi="ar"/>
              </w:rPr>
            </w:pPr>
            <w:r>
              <w:rPr>
                <w:rFonts w:hint="eastAsia" w:ascii="宋体" w:hAnsi="宋体" w:eastAsia="宋体" w:cs="宋体"/>
                <w:color w:val="000000"/>
                <w:sz w:val="20"/>
                <w:szCs w:val="20"/>
                <w:lang w:val="en-US" w:eastAsia="zh-CN"/>
              </w:rPr>
              <w:t>2.</w:t>
            </w:r>
            <w:r>
              <w:rPr>
                <w:rFonts w:hint="eastAsia" w:ascii="宋体" w:hAnsi="宋体" w:eastAsia="宋体" w:cs="宋体"/>
                <w:color w:val="000000"/>
                <w:sz w:val="20"/>
                <w:szCs w:val="20"/>
              </w:rPr>
              <w:t xml:space="preserve">因采购人使用的是财政资金，采购人的付款时间为向政府采购支付部门提出办理财政支付申请手续的时间（不含政府财政支付部门审核的时间），在规定时间内提出支付申请手续后即视为采购人已经按期支付。因财政审批等原因造成的付款迟延，不视为采购人违约，成交供应商不得据此怠于履行部分或者全部合同义务。 </w:t>
            </w:r>
          </w:p>
        </w:tc>
        <w:tc>
          <w:tcPr>
            <w:tcW w:w="1322" w:type="dxa"/>
            <w:tcBorders>
              <w:top w:val="single" w:color="000000" w:sz="4" w:space="0"/>
              <w:left w:val="single" w:color="000000" w:sz="4" w:space="0"/>
              <w:bottom w:val="single" w:color="auto" w:sz="4" w:space="0"/>
              <w:right w:val="single" w:color="000000" w:sz="4" w:space="0"/>
            </w:tcBorders>
            <w:shd w:val="clear"/>
            <w:vAlign w:val="center"/>
          </w:tcPr>
          <w:p w14:paraId="33FB504E">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bdr w:val="none" w:color="auto" w:sz="0" w:space="0"/>
                <w:lang w:val="en-US" w:eastAsia="zh-CN" w:bidi="ar"/>
              </w:rPr>
            </w:pPr>
            <w:r>
              <w:rPr>
                <w:rFonts w:hint="eastAsia" w:ascii="宋体" w:hAnsi="宋体" w:eastAsia="宋体" w:cs="宋体"/>
                <w:i w:val="0"/>
                <w:iCs w:val="0"/>
                <w:color w:val="000000"/>
                <w:kern w:val="0"/>
                <w:sz w:val="20"/>
                <w:szCs w:val="20"/>
                <w:u w:val="none"/>
                <w:lang w:val="en-US" w:eastAsia="zh-CN" w:bidi="ar"/>
              </w:rPr>
              <w:t>完全响应</w:t>
            </w:r>
          </w:p>
        </w:tc>
        <w:tc>
          <w:tcPr>
            <w:tcW w:w="685" w:type="dxa"/>
            <w:tcBorders>
              <w:top w:val="single" w:color="000000" w:sz="4" w:space="0"/>
              <w:left w:val="single" w:color="000000" w:sz="4" w:space="0"/>
              <w:bottom w:val="single" w:color="auto" w:sz="4" w:space="0"/>
              <w:right w:val="single" w:color="000000" w:sz="4" w:space="0"/>
            </w:tcBorders>
            <w:shd w:val="clear"/>
            <w:vAlign w:val="center"/>
          </w:tcPr>
          <w:p w14:paraId="768C9CAA">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bdr w:val="none" w:color="auto" w:sz="0" w:space="0"/>
                <w:lang w:val="en-US" w:eastAsia="zh-CN" w:bidi="ar"/>
              </w:rPr>
            </w:pPr>
            <w:r>
              <w:rPr>
                <w:rFonts w:hint="eastAsia" w:ascii="宋体" w:hAnsi="宋体" w:eastAsia="宋体" w:cs="宋体"/>
                <w:i w:val="0"/>
                <w:iCs w:val="0"/>
                <w:color w:val="000000"/>
                <w:kern w:val="0"/>
                <w:sz w:val="20"/>
                <w:szCs w:val="20"/>
                <w:u w:val="none"/>
                <w:lang w:val="en-US" w:eastAsia="zh-CN" w:bidi="ar"/>
              </w:rPr>
              <w:t>是</w:t>
            </w:r>
          </w:p>
        </w:tc>
        <w:tc>
          <w:tcPr>
            <w:tcW w:w="496" w:type="dxa"/>
            <w:tcBorders>
              <w:top w:val="single" w:color="000000" w:sz="4" w:space="0"/>
              <w:left w:val="single" w:color="000000" w:sz="4" w:space="0"/>
              <w:bottom w:val="single" w:color="auto" w:sz="4" w:space="0"/>
              <w:right w:val="single" w:color="000000" w:sz="4" w:space="0"/>
            </w:tcBorders>
            <w:shd w:val="clear"/>
            <w:vAlign w:val="center"/>
          </w:tcPr>
          <w:p w14:paraId="1A1D4A6B">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bdr w:val="none" w:color="auto" w:sz="0" w:space="0"/>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1431" w:type="dxa"/>
            <w:tcBorders>
              <w:top w:val="single" w:color="000000" w:sz="4" w:space="0"/>
              <w:left w:val="single" w:color="000000" w:sz="4" w:space="0"/>
              <w:bottom w:val="single" w:color="auto" w:sz="4" w:space="0"/>
              <w:right w:val="single" w:color="000000" w:sz="4" w:space="0"/>
            </w:tcBorders>
            <w:shd w:val="clear"/>
            <w:vAlign w:val="center"/>
          </w:tcPr>
          <w:p w14:paraId="0F81DF79">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bdr w:val="none" w:color="auto" w:sz="0" w:space="0"/>
                <w:lang w:val="en-US" w:eastAsia="zh-CN" w:bidi="ar"/>
              </w:rPr>
            </w:pPr>
          </w:p>
        </w:tc>
        <w:tc>
          <w:tcPr>
            <w:tcW w:w="641" w:type="dxa"/>
            <w:tcBorders>
              <w:top w:val="single" w:color="000000" w:sz="4" w:space="0"/>
              <w:left w:val="single" w:color="000000" w:sz="4" w:space="0"/>
              <w:bottom w:val="single" w:color="auto" w:sz="4" w:space="0"/>
              <w:right w:val="single" w:color="000000" w:sz="4" w:space="0"/>
            </w:tcBorders>
            <w:shd w:val="clear"/>
            <w:vAlign w:val="center"/>
          </w:tcPr>
          <w:p w14:paraId="0912FC75">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bdr w:val="none" w:color="auto" w:sz="0" w:space="0"/>
                <w:lang w:val="en-US" w:eastAsia="zh-CN" w:bidi="ar"/>
              </w:rPr>
            </w:pPr>
          </w:p>
        </w:tc>
      </w:tr>
      <w:tr w14:paraId="39867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72" w:hRule="atLeast"/>
          <w:jc w:val="center"/>
        </w:trPr>
        <w:tc>
          <w:tcPr>
            <w:tcW w:w="12988" w:type="dxa"/>
            <w:gridSpan w:val="6"/>
            <w:tcBorders>
              <w:top w:val="single" w:color="auto" w:sz="4" w:space="0"/>
              <w:left w:val="single" w:color="auto" w:sz="4" w:space="0"/>
              <w:bottom w:val="single" w:color="auto" w:sz="4" w:space="0"/>
              <w:right w:val="single" w:color="auto" w:sz="4" w:space="0"/>
            </w:tcBorders>
            <w:shd w:val="clear"/>
            <w:vAlign w:val="center"/>
          </w:tcPr>
          <w:p w14:paraId="5CCDBC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报价合计(元）</w:t>
            </w:r>
          </w:p>
        </w:tc>
        <w:tc>
          <w:tcPr>
            <w:tcW w:w="2072" w:type="dxa"/>
            <w:gridSpan w:val="2"/>
            <w:tcBorders>
              <w:top w:val="single" w:color="auto" w:sz="4" w:space="0"/>
              <w:left w:val="single" w:color="auto" w:sz="4" w:space="0"/>
              <w:bottom w:val="single" w:color="auto" w:sz="4" w:space="0"/>
              <w:right w:val="single" w:color="auto" w:sz="4" w:space="0"/>
            </w:tcBorders>
            <w:shd w:val="clear"/>
            <w:vAlign w:val="center"/>
          </w:tcPr>
          <w:p w14:paraId="0EE8E2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r w14:paraId="5DF21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02" w:hRule="atLeast"/>
          <w:jc w:val="center"/>
        </w:trPr>
        <w:tc>
          <w:tcPr>
            <w:tcW w:w="5507" w:type="dxa"/>
            <w:gridSpan w:val="2"/>
            <w:tcBorders>
              <w:top w:val="single" w:color="auto" w:sz="4" w:space="0"/>
              <w:left w:val="nil"/>
              <w:bottom w:val="nil"/>
              <w:right w:val="nil"/>
            </w:tcBorders>
            <w:shd w:val="clear"/>
            <w:noWrap/>
            <w:vAlign w:val="center"/>
          </w:tcPr>
          <w:p w14:paraId="26790B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报价单位（公章）：</w:t>
            </w:r>
          </w:p>
        </w:tc>
        <w:tc>
          <w:tcPr>
            <w:tcW w:w="4978" w:type="dxa"/>
            <w:tcBorders>
              <w:top w:val="single" w:color="auto" w:sz="4" w:space="0"/>
              <w:left w:val="nil"/>
              <w:bottom w:val="nil"/>
              <w:right w:val="nil"/>
            </w:tcBorders>
            <w:shd w:val="clear"/>
            <w:noWrap/>
            <w:vAlign w:val="center"/>
          </w:tcPr>
          <w:p w14:paraId="75ACDD82">
            <w:pPr>
              <w:jc w:val="left"/>
              <w:rPr>
                <w:rFonts w:hint="eastAsia" w:ascii="宋体" w:hAnsi="宋体" w:eastAsia="宋体" w:cs="宋体"/>
                <w:i w:val="0"/>
                <w:iCs w:val="0"/>
                <w:color w:val="000000"/>
                <w:sz w:val="24"/>
                <w:szCs w:val="24"/>
                <w:u w:val="none"/>
              </w:rPr>
            </w:pPr>
          </w:p>
        </w:tc>
        <w:tc>
          <w:tcPr>
            <w:tcW w:w="1322" w:type="dxa"/>
            <w:tcBorders>
              <w:top w:val="single" w:color="auto" w:sz="4" w:space="0"/>
              <w:left w:val="nil"/>
              <w:bottom w:val="nil"/>
              <w:right w:val="nil"/>
            </w:tcBorders>
            <w:shd w:val="clear"/>
            <w:noWrap/>
            <w:vAlign w:val="center"/>
          </w:tcPr>
          <w:p w14:paraId="2B1AC0C4">
            <w:pPr>
              <w:rPr>
                <w:rFonts w:hint="eastAsia" w:ascii="宋体" w:hAnsi="宋体" w:eastAsia="宋体" w:cs="宋体"/>
                <w:i w:val="0"/>
                <w:iCs w:val="0"/>
                <w:color w:val="000000"/>
                <w:sz w:val="24"/>
                <w:szCs w:val="24"/>
                <w:u w:val="none"/>
              </w:rPr>
            </w:pPr>
          </w:p>
        </w:tc>
        <w:tc>
          <w:tcPr>
            <w:tcW w:w="685" w:type="dxa"/>
            <w:tcBorders>
              <w:top w:val="single" w:color="auto" w:sz="4" w:space="0"/>
              <w:left w:val="nil"/>
              <w:bottom w:val="nil"/>
              <w:right w:val="nil"/>
            </w:tcBorders>
            <w:shd w:val="clear"/>
            <w:noWrap/>
            <w:vAlign w:val="center"/>
          </w:tcPr>
          <w:p w14:paraId="09FCD985">
            <w:pPr>
              <w:rPr>
                <w:rFonts w:hint="eastAsia" w:ascii="宋体" w:hAnsi="宋体" w:eastAsia="宋体" w:cs="宋体"/>
                <w:i w:val="0"/>
                <w:iCs w:val="0"/>
                <w:color w:val="000000"/>
                <w:sz w:val="24"/>
                <w:szCs w:val="24"/>
                <w:u w:val="none"/>
              </w:rPr>
            </w:pPr>
          </w:p>
        </w:tc>
        <w:tc>
          <w:tcPr>
            <w:tcW w:w="496" w:type="dxa"/>
            <w:tcBorders>
              <w:top w:val="single" w:color="auto" w:sz="4" w:space="0"/>
              <w:left w:val="nil"/>
              <w:bottom w:val="nil"/>
              <w:right w:val="nil"/>
            </w:tcBorders>
            <w:shd w:val="clear"/>
            <w:noWrap/>
            <w:vAlign w:val="center"/>
          </w:tcPr>
          <w:p w14:paraId="730F4327">
            <w:pPr>
              <w:jc w:val="center"/>
              <w:rPr>
                <w:rFonts w:hint="eastAsia" w:ascii="宋体" w:hAnsi="宋体" w:eastAsia="宋体" w:cs="宋体"/>
                <w:i w:val="0"/>
                <w:iCs w:val="0"/>
                <w:color w:val="000000"/>
                <w:sz w:val="24"/>
                <w:szCs w:val="24"/>
                <w:u w:val="none"/>
              </w:rPr>
            </w:pPr>
          </w:p>
        </w:tc>
        <w:tc>
          <w:tcPr>
            <w:tcW w:w="1431" w:type="dxa"/>
            <w:tcBorders>
              <w:top w:val="single" w:color="auto" w:sz="4" w:space="0"/>
              <w:left w:val="nil"/>
              <w:bottom w:val="nil"/>
              <w:right w:val="nil"/>
            </w:tcBorders>
            <w:shd w:val="clear"/>
            <w:noWrap/>
            <w:vAlign w:val="center"/>
          </w:tcPr>
          <w:p w14:paraId="561104AF">
            <w:pPr>
              <w:rPr>
                <w:rFonts w:hint="eastAsia" w:ascii="宋体" w:hAnsi="宋体" w:eastAsia="宋体" w:cs="宋体"/>
                <w:i w:val="0"/>
                <w:iCs w:val="0"/>
                <w:color w:val="000000"/>
                <w:sz w:val="24"/>
                <w:szCs w:val="24"/>
                <w:u w:val="none"/>
              </w:rPr>
            </w:pPr>
          </w:p>
        </w:tc>
        <w:tc>
          <w:tcPr>
            <w:tcW w:w="641" w:type="dxa"/>
            <w:tcBorders>
              <w:top w:val="single" w:color="auto" w:sz="4" w:space="0"/>
              <w:left w:val="nil"/>
              <w:bottom w:val="nil"/>
              <w:right w:val="nil"/>
            </w:tcBorders>
            <w:shd w:val="clear"/>
            <w:noWrap/>
            <w:vAlign w:val="center"/>
          </w:tcPr>
          <w:p w14:paraId="618FF7AB">
            <w:pPr>
              <w:rPr>
                <w:rFonts w:hint="eastAsia" w:ascii="宋体" w:hAnsi="宋体" w:eastAsia="宋体" w:cs="宋体"/>
                <w:i w:val="0"/>
                <w:iCs w:val="0"/>
                <w:color w:val="000000"/>
                <w:sz w:val="24"/>
                <w:szCs w:val="24"/>
                <w:u w:val="none"/>
              </w:rPr>
            </w:pPr>
          </w:p>
        </w:tc>
      </w:tr>
      <w:tr w14:paraId="3AE89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2" w:hRule="atLeast"/>
          <w:jc w:val="center"/>
        </w:trPr>
        <w:tc>
          <w:tcPr>
            <w:tcW w:w="5507" w:type="dxa"/>
            <w:gridSpan w:val="2"/>
            <w:tcBorders>
              <w:top w:val="nil"/>
              <w:left w:val="nil"/>
              <w:bottom w:val="nil"/>
              <w:right w:val="nil"/>
            </w:tcBorders>
            <w:shd w:val="clear"/>
            <w:noWrap/>
            <w:vAlign w:val="center"/>
          </w:tcPr>
          <w:p w14:paraId="4C2BA9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报价日期：</w:t>
            </w:r>
          </w:p>
        </w:tc>
        <w:tc>
          <w:tcPr>
            <w:tcW w:w="4978" w:type="dxa"/>
            <w:tcBorders>
              <w:top w:val="nil"/>
              <w:left w:val="nil"/>
              <w:bottom w:val="nil"/>
              <w:right w:val="nil"/>
            </w:tcBorders>
            <w:shd w:val="clear"/>
            <w:noWrap/>
            <w:vAlign w:val="center"/>
          </w:tcPr>
          <w:p w14:paraId="0857BC34">
            <w:pPr>
              <w:jc w:val="left"/>
              <w:rPr>
                <w:rFonts w:hint="eastAsia" w:ascii="宋体" w:hAnsi="宋体" w:eastAsia="宋体" w:cs="宋体"/>
                <w:i w:val="0"/>
                <w:iCs w:val="0"/>
                <w:color w:val="000000"/>
                <w:sz w:val="24"/>
                <w:szCs w:val="24"/>
                <w:u w:val="none"/>
              </w:rPr>
            </w:pPr>
          </w:p>
        </w:tc>
        <w:tc>
          <w:tcPr>
            <w:tcW w:w="1322" w:type="dxa"/>
            <w:tcBorders>
              <w:top w:val="nil"/>
              <w:left w:val="nil"/>
              <w:bottom w:val="nil"/>
              <w:right w:val="nil"/>
            </w:tcBorders>
            <w:shd w:val="clear"/>
            <w:noWrap/>
            <w:vAlign w:val="center"/>
          </w:tcPr>
          <w:p w14:paraId="4B539841">
            <w:pPr>
              <w:rPr>
                <w:rFonts w:hint="eastAsia" w:ascii="宋体" w:hAnsi="宋体" w:eastAsia="宋体" w:cs="宋体"/>
                <w:i w:val="0"/>
                <w:iCs w:val="0"/>
                <w:color w:val="000000"/>
                <w:sz w:val="24"/>
                <w:szCs w:val="24"/>
                <w:u w:val="none"/>
              </w:rPr>
            </w:pPr>
          </w:p>
        </w:tc>
        <w:tc>
          <w:tcPr>
            <w:tcW w:w="685" w:type="dxa"/>
            <w:tcBorders>
              <w:top w:val="nil"/>
              <w:left w:val="nil"/>
              <w:bottom w:val="nil"/>
              <w:right w:val="nil"/>
            </w:tcBorders>
            <w:shd w:val="clear"/>
            <w:noWrap/>
            <w:vAlign w:val="center"/>
          </w:tcPr>
          <w:p w14:paraId="62542E8F">
            <w:pPr>
              <w:rPr>
                <w:rFonts w:hint="eastAsia" w:ascii="宋体" w:hAnsi="宋体" w:eastAsia="宋体" w:cs="宋体"/>
                <w:i w:val="0"/>
                <w:iCs w:val="0"/>
                <w:color w:val="000000"/>
                <w:sz w:val="24"/>
                <w:szCs w:val="24"/>
                <w:u w:val="none"/>
              </w:rPr>
            </w:pPr>
          </w:p>
        </w:tc>
        <w:tc>
          <w:tcPr>
            <w:tcW w:w="496" w:type="dxa"/>
            <w:tcBorders>
              <w:top w:val="nil"/>
              <w:left w:val="nil"/>
              <w:bottom w:val="nil"/>
              <w:right w:val="nil"/>
            </w:tcBorders>
            <w:shd w:val="clear"/>
            <w:noWrap/>
            <w:vAlign w:val="center"/>
          </w:tcPr>
          <w:p w14:paraId="04519F31">
            <w:pPr>
              <w:jc w:val="center"/>
              <w:rPr>
                <w:rFonts w:hint="eastAsia" w:ascii="宋体" w:hAnsi="宋体" w:eastAsia="宋体" w:cs="宋体"/>
                <w:i w:val="0"/>
                <w:iCs w:val="0"/>
                <w:color w:val="000000"/>
                <w:sz w:val="24"/>
                <w:szCs w:val="24"/>
                <w:u w:val="none"/>
              </w:rPr>
            </w:pPr>
          </w:p>
        </w:tc>
        <w:tc>
          <w:tcPr>
            <w:tcW w:w="1431" w:type="dxa"/>
            <w:tcBorders>
              <w:top w:val="nil"/>
              <w:left w:val="nil"/>
              <w:bottom w:val="nil"/>
              <w:right w:val="nil"/>
            </w:tcBorders>
            <w:shd w:val="clear"/>
            <w:noWrap/>
            <w:vAlign w:val="center"/>
          </w:tcPr>
          <w:p w14:paraId="6B3304DC">
            <w:pPr>
              <w:rPr>
                <w:rFonts w:hint="eastAsia" w:ascii="宋体" w:hAnsi="宋体" w:eastAsia="宋体" w:cs="宋体"/>
                <w:i w:val="0"/>
                <w:iCs w:val="0"/>
                <w:color w:val="000000"/>
                <w:sz w:val="24"/>
                <w:szCs w:val="24"/>
                <w:u w:val="none"/>
              </w:rPr>
            </w:pPr>
          </w:p>
        </w:tc>
        <w:tc>
          <w:tcPr>
            <w:tcW w:w="641" w:type="dxa"/>
            <w:tcBorders>
              <w:top w:val="nil"/>
              <w:left w:val="nil"/>
              <w:bottom w:val="nil"/>
              <w:right w:val="nil"/>
            </w:tcBorders>
            <w:shd w:val="clear"/>
            <w:noWrap/>
            <w:vAlign w:val="center"/>
          </w:tcPr>
          <w:p w14:paraId="218056D9">
            <w:pPr>
              <w:rPr>
                <w:rFonts w:hint="eastAsia" w:ascii="宋体" w:hAnsi="宋体" w:eastAsia="宋体" w:cs="宋体"/>
                <w:i w:val="0"/>
                <w:iCs w:val="0"/>
                <w:color w:val="000000"/>
                <w:sz w:val="24"/>
                <w:szCs w:val="24"/>
                <w:u w:val="none"/>
              </w:rPr>
            </w:pPr>
          </w:p>
        </w:tc>
      </w:tr>
    </w:tbl>
    <w:p w14:paraId="47D8F59F"/>
    <w:sectPr>
      <w:footerReference r:id="rId3" w:type="default"/>
      <w:pgSz w:w="16838" w:h="11906" w:orient="landscape"/>
      <w:pgMar w:top="1417" w:right="1440" w:bottom="1417"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4C6D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E1BBE2F">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5E1BBE2F">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2BABE7"/>
    <w:multiLevelType w:val="singleLevel"/>
    <w:tmpl w:val="A22BABE7"/>
    <w:lvl w:ilvl="0" w:tentative="0">
      <w:start w:val="4"/>
      <w:numFmt w:val="chineseCounting"/>
      <w:suff w:val="nothing"/>
      <w:lvlText w:val="（%1）"/>
      <w:lvlJc w:val="left"/>
      <w:rPr>
        <w:rFonts w:hint="eastAsia"/>
      </w:rPr>
    </w:lvl>
  </w:abstractNum>
  <w:abstractNum w:abstractNumId="1">
    <w:nsid w:val="CF7AE26D"/>
    <w:multiLevelType w:val="singleLevel"/>
    <w:tmpl w:val="CF7AE26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3400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kern w:val="0"/>
      <w:szCs w:val="20"/>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null3"/>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5</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2025-09-30T04:52:58Z</dcterms:created>
  <dc:creator>Administrator</dc:creator>
  <cp:lastModifiedBy>Administrator</cp:lastModifiedBy>
  <dcterms:modified xsi:type="dcterms:W3CDTF">2025-09-30T05:01:54Z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eyJoZGlkIjoiNmFkNWZjNzA0MTZmZDYwYzA5ZDIxYzhiMDFiYzZiODMifQ==</vt:lpwstr>
  </property>
  <property fmtid="{D5CDD505-2E9C-101B-9397-08002B2CF9AE}" pid="4" name="ICV">
    <vt:lpwstr>0FA79CCAC7EF4138995BF9FF2690FF7F_12</vt:lpwstr>
  </property>
</Properties>
</file>