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电子询价项目名称：始兴县粮食生产气象服务观测站</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电子询价项目编号：2026-109-SGYD-DZX                                                          预算金额：¥160,000.00</w:t>
      </w:r>
    </w:p>
    <w:tbl>
      <w:tblPr>
        <w:tblStyle w:val="6"/>
        <w:tblW w:w="148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7814"/>
        <w:gridCol w:w="1332"/>
        <w:gridCol w:w="843"/>
        <w:gridCol w:w="394"/>
        <w:gridCol w:w="619"/>
        <w:gridCol w:w="1754"/>
        <w:gridCol w:w="42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7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F015">
            <w:pPr>
              <w:keepNext w:val="0"/>
              <w:keepLines w:val="0"/>
              <w:pageBreakBefore w:val="0"/>
              <w:widowControl/>
              <w:suppressLineNumbers w:val="0"/>
              <w:kinsoku/>
              <w:wordWrap/>
              <w:overflowPunct/>
              <w:topLinePunct w:val="0"/>
              <w:bidi w:val="0"/>
              <w:snapToGrid/>
              <w:spacing w:line="340" w:lineRule="exact"/>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单位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始兴县粮食生产气象服务观测站</w:t>
            </w:r>
          </w:p>
        </w:tc>
        <w:tc>
          <w:tcPr>
            <w:tcW w:w="7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499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宋体" w:hAnsi="宋体" w:cs="宋体"/>
                <w:sz w:val="24"/>
              </w:rPr>
            </w:pPr>
            <w:r>
              <w:rPr>
                <w:rFonts w:hint="eastAsia" w:ascii="宋体" w:hAnsi="宋体" w:cs="宋体"/>
                <w:b/>
                <w:bCs/>
                <w:sz w:val="24"/>
              </w:rPr>
              <w:t>采购需求一览表</w:t>
            </w:r>
          </w:p>
          <w:tbl>
            <w:tblPr>
              <w:tblStyle w:val="6"/>
              <w:tblW w:w="4997" w:type="pct"/>
              <w:jc w:val="center"/>
              <w:tblLayout w:type="fixed"/>
              <w:tblCellMar>
                <w:top w:w="0" w:type="dxa"/>
                <w:left w:w="0" w:type="dxa"/>
                <w:bottom w:w="0" w:type="dxa"/>
                <w:right w:w="0" w:type="dxa"/>
              </w:tblCellMar>
            </w:tblPr>
            <w:tblGrid>
              <w:gridCol w:w="457"/>
              <w:gridCol w:w="2031"/>
              <w:gridCol w:w="954"/>
              <w:gridCol w:w="1264"/>
              <w:gridCol w:w="1401"/>
              <w:gridCol w:w="1486"/>
            </w:tblGrid>
            <w:tr w14:paraId="1CD3A048">
              <w:tblPrEx>
                <w:tblCellMar>
                  <w:top w:w="0" w:type="dxa"/>
                  <w:left w:w="0" w:type="dxa"/>
                  <w:bottom w:w="0" w:type="dxa"/>
                  <w:right w:w="0" w:type="dxa"/>
                </w:tblCellMar>
              </w:tblPrEx>
              <w:trPr>
                <w:trHeight w:val="596" w:hRule="atLeast"/>
                <w:jc w:val="center"/>
              </w:trPr>
              <w:tc>
                <w:tcPr>
                  <w:tcW w:w="30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2E9F741">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37" w:type="pct"/>
                  <w:tcBorders>
                    <w:top w:val="single" w:color="000000"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1E114BAA">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0"/>
                      <w:sz w:val="21"/>
                      <w:szCs w:val="21"/>
                      <w:highlight w:val="none"/>
                      <w:lang w:val="en-US" w:eastAsia="zh-CN" w:bidi="ar"/>
                    </w:rPr>
                    <w:t>设备</w:t>
                  </w:r>
                </w:p>
              </w:tc>
              <w:tc>
                <w:tcPr>
                  <w:tcW w:w="628" w:type="pct"/>
                  <w:tcBorders>
                    <w:top w:val="single" w:color="000000"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55E25D1B">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832" w:type="pct"/>
                  <w:tcBorders>
                    <w:top w:val="single" w:color="000000"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3BA1A56D">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922" w:type="pct"/>
                  <w:tcBorders>
                    <w:top w:val="single" w:color="000000"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3A706813">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977" w:type="pct"/>
                  <w:tcBorders>
                    <w:top w:val="single" w:color="000000"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3B982F0F">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7EDAEF02">
              <w:tblPrEx>
                <w:tblCellMar>
                  <w:top w:w="0" w:type="dxa"/>
                  <w:left w:w="0" w:type="dxa"/>
                  <w:bottom w:w="0" w:type="dxa"/>
                  <w:right w:w="0" w:type="dxa"/>
                </w:tblCellMar>
              </w:tblPrEx>
              <w:trPr>
                <w:trHeight w:val="486" w:hRule="atLeast"/>
                <w:jc w:val="center"/>
              </w:trPr>
              <w:tc>
                <w:tcPr>
                  <w:tcW w:w="301" w:type="pct"/>
                  <w:tcBorders>
                    <w:top w:val="single" w:color="000000" w:sz="4" w:space="0"/>
                    <w:left w:val="single" w:color="000000" w:sz="4" w:space="0"/>
                    <w:bottom w:val="single" w:color="000000" w:sz="4" w:space="0"/>
                    <w:right w:val="single" w:color="auto" w:sz="4" w:space="0"/>
                  </w:tcBorders>
                  <w:shd w:val="clear" w:color="auto" w:fill="FFFFFF"/>
                  <w:noWrap w:val="0"/>
                  <w:tcMar>
                    <w:top w:w="15" w:type="dxa"/>
                    <w:left w:w="15" w:type="dxa"/>
                    <w:right w:w="15" w:type="dxa"/>
                  </w:tcMar>
                  <w:vAlign w:val="center"/>
                </w:tcPr>
                <w:p w14:paraId="7ACECA7A">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337" w:type="pct"/>
                  <w:tcBorders>
                    <w:top w:val="single" w:color="auto" w:sz="4" w:space="0"/>
                    <w:left w:val="single" w:color="auto" w:sz="4" w:space="0"/>
                    <w:bottom w:val="single" w:color="auto" w:sz="4" w:space="0"/>
                    <w:right w:val="single" w:color="000000" w:sz="4" w:space="0"/>
                  </w:tcBorders>
                  <w:shd w:val="clear" w:color="auto" w:fill="FFFFFF"/>
                  <w:noWrap w:val="0"/>
                  <w:tcMar>
                    <w:top w:w="15" w:type="dxa"/>
                    <w:left w:w="15" w:type="dxa"/>
                    <w:right w:w="15" w:type="dxa"/>
                  </w:tcMar>
                  <w:vAlign w:val="center"/>
                </w:tcPr>
                <w:p w14:paraId="13E96615">
                  <w:pPr>
                    <w:spacing w:line="36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数据采集系统、通信、温度、风速、风向、雨量、湿度、日照、光合有效辐射、图像采集系统、数据集成应用软件、供电、配套基础设施</w:t>
                  </w:r>
                </w:p>
              </w:tc>
              <w:tc>
                <w:tcPr>
                  <w:tcW w:w="628" w:type="pct"/>
                  <w:tcBorders>
                    <w:top w:val="single" w:color="auto"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44635128">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1套</w:t>
                  </w:r>
                </w:p>
              </w:tc>
              <w:tc>
                <w:tcPr>
                  <w:tcW w:w="832" w:type="pct"/>
                  <w:tcBorders>
                    <w:top w:val="single" w:color="auto"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7CB05566">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详见“采购项目技术要求”内容</w:t>
                  </w:r>
                </w:p>
              </w:tc>
              <w:tc>
                <w:tcPr>
                  <w:tcW w:w="922" w:type="pct"/>
                  <w:tcBorders>
                    <w:top w:val="single" w:color="auto" w:sz="4" w:space="0"/>
                    <w:left w:val="single" w:color="000000" w:sz="4" w:space="0"/>
                    <w:bottom w:val="single" w:color="auto" w:sz="4" w:space="0"/>
                    <w:right w:val="single" w:color="000000" w:sz="4" w:space="0"/>
                  </w:tcBorders>
                  <w:shd w:val="clear" w:color="auto" w:fill="FFFFFF"/>
                  <w:noWrap w:val="0"/>
                  <w:tcMar>
                    <w:top w:w="15" w:type="dxa"/>
                    <w:left w:w="15" w:type="dxa"/>
                    <w:right w:w="15" w:type="dxa"/>
                  </w:tcMar>
                  <w:vAlign w:val="center"/>
                </w:tcPr>
                <w:p w14:paraId="1F98F76E">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自合同签订生效之日起30日内完成供货安装、调试并交付采购人使用</w:t>
                  </w:r>
                </w:p>
              </w:tc>
              <w:tc>
                <w:tcPr>
                  <w:tcW w:w="977" w:type="pct"/>
                  <w:tcBorders>
                    <w:top w:val="single" w:color="auto" w:sz="4" w:space="0"/>
                    <w:left w:val="single" w:color="000000" w:sz="4" w:space="0"/>
                    <w:bottom w:val="single" w:color="auto" w:sz="4" w:space="0"/>
                    <w:right w:val="single" w:color="auto" w:sz="4" w:space="0"/>
                  </w:tcBorders>
                  <w:shd w:val="clear" w:color="auto" w:fill="FFFFFF"/>
                  <w:noWrap w:val="0"/>
                  <w:tcMar>
                    <w:top w:w="15" w:type="dxa"/>
                    <w:left w:w="15" w:type="dxa"/>
                    <w:right w:w="15" w:type="dxa"/>
                  </w:tcMar>
                  <w:vAlign w:val="center"/>
                </w:tcPr>
                <w:p w14:paraId="59F426F6">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160,</w:t>
                  </w:r>
                  <w:r>
                    <w:rPr>
                      <w:rFonts w:hint="default" w:ascii="宋体" w:hAnsi="宋体" w:eastAsia="宋体" w:cs="宋体"/>
                      <w:sz w:val="21"/>
                      <w:szCs w:val="21"/>
                      <w:lang w:val="en-US" w:eastAsia="zh-CN"/>
                    </w:rPr>
                    <w:t>000</w:t>
                  </w:r>
                  <w:r>
                    <w:rPr>
                      <w:rFonts w:hint="eastAsia" w:ascii="宋体" w:hAnsi="宋体" w:eastAsia="宋体" w:cs="宋体"/>
                      <w:sz w:val="21"/>
                      <w:szCs w:val="21"/>
                      <w:lang w:val="en-US" w:eastAsia="zh-CN"/>
                    </w:rPr>
                    <w:t>.00</w:t>
                  </w:r>
                </w:p>
              </w:tc>
            </w:tr>
          </w:tbl>
          <w:p w14:paraId="0879CABB">
            <w:pPr>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482" w:firstLineChars="200"/>
              <w:textAlignment w:val="auto"/>
              <w:rPr>
                <w:rFonts w:ascii="宋体" w:hAnsi="宋体" w:cs="宋体"/>
                <w:b/>
                <w:bCs/>
                <w:sz w:val="24"/>
                <w:highlight w:val="none"/>
              </w:rPr>
            </w:pPr>
            <w:r>
              <w:rPr>
                <w:rFonts w:hint="eastAsia" w:ascii="宋体" w:hAnsi="宋体" w:cs="宋体"/>
                <w:b/>
                <w:bCs/>
                <w:sz w:val="24"/>
                <w:highlight w:val="none"/>
                <w:lang w:val="en-US" w:eastAsia="zh-CN"/>
              </w:rPr>
              <w:t>采购项目技术要求</w:t>
            </w:r>
          </w:p>
          <w:p w14:paraId="25AE87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eastAsia="宋体" w:cs="宋体"/>
                <w:b w:val="0"/>
                <w:bCs w:val="0"/>
                <w:sz w:val="24"/>
                <w:highlight w:val="none"/>
                <w:lang w:eastAsia="zh-CN"/>
              </w:rPr>
              <w:t>始兴县粮食生产气象服务观测站</w:t>
            </w:r>
            <w:r>
              <w:rPr>
                <w:rFonts w:hint="eastAsia" w:ascii="宋体" w:hAnsi="宋体" w:cs="宋体"/>
                <w:b w:val="0"/>
                <w:bCs w:val="0"/>
                <w:sz w:val="24"/>
                <w:highlight w:val="none"/>
              </w:rPr>
              <w:t>，可以实现温度、风速、风向、雨量、湿度、日照、光合有效辐射等要素的采集、质控与传输，具备扩展接入各种农业气象观测因子。采集各类传感器的数据，完成数据的校验、比对、订正，确保入库。</w:t>
            </w:r>
          </w:p>
          <w:p w14:paraId="60FDA4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1. 使用环境条件：空气温度：-50℃～+50℃，相对湿度：0～100%；</w:t>
            </w:r>
          </w:p>
          <w:p w14:paraId="56F199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2. 供电：交流220V；直流9～15V；</w:t>
            </w:r>
          </w:p>
          <w:p w14:paraId="666EA7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3. 核心采集器功耗：&lt;5W；</w:t>
            </w:r>
          </w:p>
          <w:p w14:paraId="306C80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4. 交流断电后备供电时间：≥14天；</w:t>
            </w:r>
          </w:p>
          <w:p w14:paraId="294B9F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5.</w:t>
            </w:r>
            <w:r>
              <w:rPr>
                <w:rFonts w:hint="eastAsia" w:ascii="宋体" w:hAnsi="宋体" w:cs="宋体"/>
                <w:b w:val="0"/>
                <w:bCs w:val="0"/>
                <w:sz w:val="24"/>
                <w:highlight w:val="none"/>
                <w:lang w:val="en-US" w:eastAsia="zh-CN"/>
              </w:rPr>
              <w:t xml:space="preserve"> </w:t>
            </w:r>
            <w:r>
              <w:rPr>
                <w:rFonts w:hint="eastAsia" w:ascii="宋体" w:hAnsi="宋体" w:cs="宋体"/>
                <w:b w:val="0"/>
                <w:bCs w:val="0"/>
                <w:sz w:val="24"/>
                <w:highlight w:val="none"/>
              </w:rPr>
              <w:t>实时时钟走时误差：&lt;30s/月</w:t>
            </w:r>
          </w:p>
          <w:p w14:paraId="013B37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6. 抗风：阵风75m/s；</w:t>
            </w:r>
          </w:p>
          <w:p w14:paraId="738BBF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7. 可靠性：平均无故障时间：&gt;2500小时；</w:t>
            </w:r>
          </w:p>
          <w:p w14:paraId="4C7528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 xml:space="preserve">8. 防雷性能：感应雷电压小于5KV，电流小于1500A，响应时间小于10-12秒；                                      </w:t>
            </w:r>
          </w:p>
          <w:p w14:paraId="22F7F8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lang w:val="en-US" w:eastAsia="zh-CN"/>
              </w:rPr>
              <w:t>9</w:t>
            </w:r>
            <w:r>
              <w:rPr>
                <w:rFonts w:hint="eastAsia" w:ascii="宋体" w:hAnsi="宋体" w:cs="宋体"/>
                <w:b w:val="0"/>
                <w:bCs w:val="0"/>
                <w:sz w:val="24"/>
                <w:highlight w:val="none"/>
              </w:rPr>
              <w:t>.一杆式集成。</w:t>
            </w:r>
          </w:p>
          <w:p w14:paraId="77FA62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highlight w:val="none"/>
              </w:rPr>
            </w:pPr>
            <w:r>
              <w:rPr>
                <w:rFonts w:hint="eastAsia" w:ascii="宋体" w:hAnsi="宋体" w:cs="宋体"/>
                <w:b w:val="0"/>
                <w:bCs w:val="0"/>
                <w:sz w:val="24"/>
                <w:highlight w:val="none"/>
              </w:rPr>
              <w:t>1</w:t>
            </w:r>
            <w:r>
              <w:rPr>
                <w:rFonts w:hint="eastAsia" w:ascii="宋体" w:hAnsi="宋体" w:cs="宋体"/>
                <w:b w:val="0"/>
                <w:bCs w:val="0"/>
                <w:sz w:val="24"/>
                <w:highlight w:val="none"/>
                <w:lang w:val="en-US" w:eastAsia="zh-CN"/>
              </w:rPr>
              <w:t>0</w:t>
            </w:r>
            <w:r>
              <w:rPr>
                <w:rFonts w:hint="eastAsia" w:ascii="宋体" w:hAnsi="宋体" w:cs="宋体"/>
                <w:b w:val="0"/>
                <w:bCs w:val="0"/>
                <w:sz w:val="24"/>
                <w:highlight w:val="none"/>
              </w:rPr>
              <w:t>.数据无线通信传输系统由4G无线网络实时传输，其通讯模块和通讯协议完全兼容广东气象部门现行业务系统，所采集数据可以无缝接入目前广东省气象部门业务使用的数据采集处理系统。</w:t>
            </w:r>
          </w:p>
          <w:p w14:paraId="5B775EF0">
            <w:pPr>
              <w:pStyle w:val="2"/>
              <w:rPr>
                <w:rFonts w:hint="default" w:eastAsia="宋体"/>
                <w:lang w:val="en-US" w:eastAsia="zh-CN"/>
              </w:rPr>
            </w:pPr>
            <w:r>
              <w:rPr>
                <w:rFonts w:hint="eastAsia" w:ascii="宋体" w:hAnsi="宋体" w:cs="宋体"/>
                <w:b w:val="0"/>
                <w:bCs w:val="0"/>
                <w:sz w:val="24"/>
                <w:highlight w:val="none"/>
                <w:lang w:val="en-US" w:eastAsia="zh-CN"/>
              </w:rPr>
              <w:t>11.需配备</w:t>
            </w:r>
            <w:r>
              <w:rPr>
                <w:rFonts w:hint="eastAsia" w:ascii="宋体" w:hAnsi="宋体" w:eastAsia="宋体" w:cs="宋体"/>
                <w:b w:val="0"/>
                <w:bCs w:val="0"/>
                <w:sz w:val="24"/>
                <w:highlight w:val="none"/>
                <w:lang w:eastAsia="zh-CN"/>
              </w:rPr>
              <w:t>始兴县粮食生产气象服务观测站基础配套设施，如设备基础、围栏、配套电缆等。</w:t>
            </w:r>
          </w:p>
          <w:p w14:paraId="4D6D9C80">
            <w:pPr>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482" w:firstLineChars="200"/>
              <w:textAlignment w:val="auto"/>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商务要求</w:t>
            </w:r>
          </w:p>
          <w:p w14:paraId="1EE38C3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（一）合同履约期限</w:t>
            </w:r>
          </w:p>
          <w:p w14:paraId="1FC5E1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自合同签订生效之日起30日内完成供货安装、调试并交付采购人使用。</w:t>
            </w:r>
          </w:p>
          <w:p w14:paraId="1712BA8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（二）服务地点</w:t>
            </w:r>
          </w:p>
          <w:p w14:paraId="5F1EBF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采购人指定地点。</w:t>
            </w:r>
          </w:p>
          <w:p w14:paraId="0B69066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（三）包装、保险及发运、保管要求 </w:t>
            </w:r>
          </w:p>
          <w:p w14:paraId="31F3260B">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1.设备材料的包装必须是制造商原厂包装，其包装均应有良好的防湿、防锈、防潮、防雨、防腐及防碰撞的措施。凡由于包装不良造成的损失和由此产生的费用均由成交供应商承担。 </w:t>
            </w:r>
          </w:p>
          <w:p w14:paraId="180BE41F">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2.成交供应商负责将设备材料货到采购人制定现场过程中的全部运输，包括装卸车、货物现场的搬运。</w:t>
            </w:r>
          </w:p>
          <w:p w14:paraId="2F39D665">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3.各种设备必须提供装箱清单，按装箱清单验收货物。</w:t>
            </w:r>
          </w:p>
          <w:p w14:paraId="625FB573">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4.货物在现场的保管由成交供应商负责，直至项目安装、验收完毕。</w:t>
            </w:r>
          </w:p>
          <w:p w14:paraId="09EF9A88">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5.货物在系统安装调试验收合格前的保险由成交供应商负责，成交供应商负责其派出的现场服务人员人身意外保险。</w:t>
            </w:r>
          </w:p>
          <w:p w14:paraId="5CDD2778">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6.设备至采购人指定的使用现场的包装、保险及发运等环节和费用均由成交供应商负责。 </w:t>
            </w:r>
          </w:p>
          <w:p w14:paraId="00D0CEC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（四）质量保证及售后服务 </w:t>
            </w:r>
          </w:p>
          <w:p w14:paraId="06CE19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1.质量保证期（简称“质保期”）为1年，质保期内成交供应商对所供货物实行免费维修、退换、维护保养，期满后可同时提供终身有偿维修保养服务。</w:t>
            </w:r>
          </w:p>
          <w:p w14:paraId="778039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2.质保期内，如货物或零部件因非人为因素出现故障而造成短期停用时，则质保期和免费维修、退换、维护保养期相应顺延。如停用时间累计超过60天则质保期重新计算。</w:t>
            </w:r>
          </w:p>
          <w:p w14:paraId="50B7EB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3.在任何时候，成交供应商均不能免除因货物本身的缺陷所应付的责任。成交供应商有义务对所提供的货物实行终身维护和定期的检测。</w:t>
            </w:r>
          </w:p>
          <w:p w14:paraId="65D8E4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4.对采购人的服务通知，成交供应商在接报后1小时内响应，4小时内到达现场，48小时内处理完毕。若在 48小时内仍未能有效解决，成交供应商须免费提供同档次的货物予采购人临时使用。</w:t>
            </w:r>
          </w:p>
          <w:p w14:paraId="185D5D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成交供应商须应采购人要求,无条件派遣有经验的技术人员，到采购人单位对采购人员的人员进行免费培训服务。主要培训内容为货物的基本结构、主要部件构造、日常使用操作、保养与管理、常见故障的排除、紧急情况的处理等。</w:t>
            </w:r>
          </w:p>
          <w:p w14:paraId="68405B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6.采购人只提供水、电，其余所有附件由成交供应商提供。</w:t>
            </w:r>
          </w:p>
          <w:p w14:paraId="0B9ED2E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（五）报价要求</w:t>
            </w:r>
          </w:p>
          <w:p w14:paraId="73250458">
            <w:pPr>
              <w:pStyle w:val="2"/>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1.报价超出预算金额的列为无效响应处理。</w:t>
            </w:r>
          </w:p>
          <w:p w14:paraId="3BF869DE">
            <w:pPr>
              <w:pStyle w:val="2"/>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2.供应商必须对本项目的全部内容进行报价，如有缺漏，将导致报价无效。</w:t>
            </w:r>
          </w:p>
          <w:p w14:paraId="32B9097B">
            <w:pPr>
              <w:pStyle w:val="2"/>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报价应为人民币含税全包价，供应商报价中须包含完成本采购产品及零配件的制造或采购、运输、装卸、交货、储存、安装调试，包材料、包质量、包保险、安装调试过程的水电、各项措施费、税费、试运行及包验收通过等工作的一切费用。</w:t>
            </w:r>
          </w:p>
          <w:p w14:paraId="6232C31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（六）安装、调试与验收</w:t>
            </w:r>
          </w:p>
          <w:p w14:paraId="219769B5">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1.在交接时当场进行验收。</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必须依照</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lang w:val="en-US" w:eastAsia="zh-CN"/>
              </w:rPr>
              <w:t>需求</w:t>
            </w:r>
            <w:r>
              <w:rPr>
                <w:rFonts w:hint="eastAsia" w:ascii="宋体" w:hAnsi="宋体" w:eastAsia="宋体" w:cs="宋体"/>
                <w:color w:val="auto"/>
                <w:sz w:val="24"/>
                <w:szCs w:val="24"/>
                <w:highlight w:val="none"/>
              </w:rPr>
              <w:t>，将设备、系统安装并调试至正常运行的最佳状态。</w:t>
            </w:r>
          </w:p>
          <w:p w14:paraId="0DF7213E">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货物若有国家标准按照国家标准验收，若无国家标准按行业标准验收，为原制造商制造的全新产品，整机无污染，无侵权行为、表面无划损、无任何缺陷隐患，在中国境内可依常规安全合法使用。</w:t>
            </w:r>
          </w:p>
          <w:p w14:paraId="6B69B2BA">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货物为原厂商未启封全新包装，具出厂合格证，序列号、包装箱号与出厂批号一致，并可追索查阅。所有随设备的附件必须齐全。</w:t>
            </w:r>
          </w:p>
          <w:p w14:paraId="10BC0FF1">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应将关键主机设备的用户手册、保修手册、有关单证资料及配备件、随机工具等交付给采购人，使用操作及安全须知等重要资料应附有中文说明。</w:t>
            </w:r>
          </w:p>
          <w:p w14:paraId="125E4941">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采购人组成验收小组按国家有关规定、规范进行验收，必要时邀请相关的专业人员或机构参与验收。因货物质量问题发生争议时，由本地质量技术监督部门鉴定。货物符合质量技术标准的， 鉴定费由采购人承担；否则鉴定费由</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承担。</w:t>
            </w:r>
          </w:p>
          <w:p w14:paraId="21AE7693">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在供货及安装过程中，必须服从采购人的计划安排和整体协调。</w:t>
            </w:r>
          </w:p>
          <w:p w14:paraId="7B1FDFCA">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7.所采集数据需接入目前广东省气象部门业务使用的数据采集处理系统。（提供承诺函，格式自拟）</w:t>
            </w:r>
          </w:p>
          <w:p w14:paraId="51084056">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须为验收提供必需的一切条件及相关费用，依次序对照执行标准为： ①符合中华人民共和国国家和使用地相关安全质量标准、行业技术规范标准、环保节能标准； ②符合</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 xml:space="preserve">文件和响应承诺中采购人认可的合理最佳配置、参数规格及各项要求； ③货物来源国官方颁布标准。 </w:t>
            </w:r>
          </w:p>
          <w:p w14:paraId="1F2ED00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（七）付款方式</w:t>
            </w:r>
          </w:p>
          <w:p w14:paraId="7D9DB6DB">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.项目最终验收合格后10个工作日内，采购人向成交供应商支付合同含税总价的100%（以合同签订情况为准）。</w:t>
            </w:r>
          </w:p>
          <w:p w14:paraId="4590768C">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成交供应商应充分理解采购人支付申请时间，不得因此延迟交付成果和向采购人索赔任何额外费用，不因此追究采购人责任。</w:t>
            </w:r>
          </w:p>
          <w:p w14:paraId="2961EE1C">
            <w:pPr>
              <w:pStyle w:val="2"/>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2.付款方式：采用银行转账形式。</w:t>
            </w:r>
          </w:p>
          <w:p w14:paraId="0C635CEA">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4"/>
                <w:szCs w:val="24"/>
                <w:highlight w:val="none"/>
                <w:lang w:val="en-US" w:eastAsia="zh-CN"/>
              </w:rPr>
              <w:t>3.每笔款项支付时，成交供应商同时向采购人提供相应金额的正式发票。</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963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CF3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391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68F97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27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6C814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报价合计(元）</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287A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C20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r>
    </w:tbl>
    <w:p w14:paraId="7696A3CB"/>
    <w:p w14:paraId="7D8709F0">
      <w:pPr>
        <w:pStyle w:val="2"/>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2"/>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r>
        <w:rPr>
          <w:rFonts w:hint="eastAsia" w:ascii="宋体" w:hAnsi="宋体" w:cs="宋体"/>
          <w:i w:val="0"/>
          <w:iCs w:val="0"/>
          <w:color w:val="000000"/>
          <w:kern w:val="0"/>
          <w:sz w:val="21"/>
          <w:szCs w:val="21"/>
          <w:u w:val="none"/>
          <w:lang w:val="en-US" w:eastAsia="zh-CN" w:bidi="ar"/>
        </w:rPr>
        <w:t>2026年05月20</w:t>
      </w:r>
      <w:bookmarkStart w:id="0" w:name="_GoBack"/>
      <w:bookmarkEnd w:id="0"/>
      <w:r>
        <w:rPr>
          <w:rFonts w:hint="eastAsia" w:ascii="宋体" w:hAnsi="宋体" w:cs="宋体"/>
          <w:i w:val="0"/>
          <w:iCs w:val="0"/>
          <w:color w:val="000000"/>
          <w:kern w:val="0"/>
          <w:sz w:val="21"/>
          <w:szCs w:val="21"/>
          <w:u w:val="none"/>
          <w:lang w:val="en-US" w:eastAsia="zh-CN" w:bidi="ar"/>
        </w:rPr>
        <w:t>日</w:t>
      </w:r>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CA515"/>
    <w:multiLevelType w:val="singleLevel"/>
    <w:tmpl w:val="3DBCA5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22035426"/>
    <w:rsid w:val="25A03144"/>
    <w:rsid w:val="308B46F0"/>
    <w:rsid w:val="4D2E66D8"/>
    <w:rsid w:val="587F3F33"/>
    <w:rsid w:val="6884728A"/>
    <w:rsid w:val="6CE16E6B"/>
    <w:rsid w:val="6FA431BE"/>
    <w:rsid w:val="733341BD"/>
    <w:rsid w:val="7B1D6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ascii="Calibri" w:hAnsi="Calibri"/>
      <w:sz w:val="28"/>
      <w:szCs w:val="24"/>
    </w:rPr>
  </w:style>
  <w:style w:type="paragraph" w:customStyle="1" w:styleId="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UserStyle_43"/>
    <w:basedOn w:val="9"/>
    <w:qFormat/>
    <w:uiPriority w:val="0"/>
    <w:rPr>
      <w:rFonts w:ascii="宋体" w:hAnsi="Courier New"/>
      <w:szCs w:val="21"/>
    </w:rPr>
  </w:style>
  <w:style w:type="paragraph" w:customStyle="1" w:styleId="9">
    <w:name w:val="UserStyle_30"/>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0">
    <w:name w:val="UserStyle_20"/>
    <w:basedOn w:val="11"/>
    <w:qFormat/>
    <w:uiPriority w:val="0"/>
    <w:pPr>
      <w:spacing w:line="560" w:lineRule="exact"/>
      <w:ind w:firstLine="561"/>
    </w:pPr>
    <w:rPr>
      <w:rFonts w:eastAsia="仿宋_GB2312"/>
      <w:sz w:val="28"/>
    </w:rPr>
  </w:style>
  <w:style w:type="paragraph" w:customStyle="1" w:styleId="11">
    <w:name w:val="UserStyle_24"/>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style>
  <w:style w:type="paragraph" w:customStyle="1" w:styleId="13">
    <w:name w:val="179"/>
    <w:basedOn w:val="9"/>
    <w:qFormat/>
    <w:uiPriority w:val="0"/>
    <w:pPr>
      <w:ind w:firstLine="420" w:firstLineChars="200"/>
    </w:pPr>
    <w:rPr>
      <w:rFonts w:ascii="Calibri" w:hAnsi="Calibri"/>
      <w:szCs w:val="22"/>
    </w:rPr>
  </w:style>
  <w:style w:type="paragraph" w:customStyle="1" w:styleId="14">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2349</Words>
  <Characters>2475</Characters>
  <Lines>0</Lines>
  <Paragraphs>0</Paragraphs>
  <TotalTime>6</TotalTime>
  <ScaleCrop>false</ScaleCrop>
  <LinksUpToDate>false</LinksUpToDate>
  <CharactersWithSpaces>2589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2026-05-14T03:31:50Z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BCCA7EA7B0534042A7A401879EC817F2_12</vt:lpwstr>
  </property>
  <property fmtid="{D5CDD505-2E9C-101B-9397-08002B2CF9AE}" pid="4" name="KSOTemplateDocerSaveRecord">
    <vt:lpwstr>eyJoZGlkIjoiODMwNzAyZGZiNDI2NDk5ODY1YmMzMTY3MjUxYjI4MDAiLCJ1c2VySWQiOiI2NTU3NzExNTAifQ==</vt:lpwstr>
  </property>
</Properties>
</file>