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50" w:after="50"/>
        <w:jc w:val="center"/>
        <w:rPr>
          <w:rFonts w:hint="eastAsia" w:ascii="仿宋" w:eastAsia="仿宋"/>
          <w:b/>
          <w:sz w:val="30"/>
          <w:highlight w:val="none"/>
        </w:rPr>
      </w:pPr>
      <w:bookmarkStart w:id="10" w:name="_GoBack"/>
      <w:bookmarkEnd w:id="10"/>
      <w:r>
        <w:rPr>
          <w:rFonts w:hint="eastAsia" w:ascii="仿宋" w:eastAsia="仿宋"/>
          <w:b/>
          <w:sz w:val="36"/>
          <w:szCs w:val="21"/>
          <w:highlight w:val="none"/>
          <w:lang w:val="en-US" w:eastAsia="zh-CN"/>
        </w:rPr>
        <w:t>分项</w:t>
      </w:r>
      <w:r>
        <w:rPr>
          <w:rFonts w:hint="eastAsia" w:ascii="仿宋" w:eastAsia="仿宋"/>
          <w:b/>
          <w:sz w:val="36"/>
          <w:szCs w:val="21"/>
          <w:highlight w:val="none"/>
        </w:rPr>
        <w:t>报价表</w:t>
      </w:r>
    </w:p>
    <w:p>
      <w:pPr>
        <w:snapToGrid w:val="0"/>
        <w:spacing w:before="50" w:after="50"/>
        <w:rPr>
          <w:rFonts w:hint="eastAsia" w:ascii="仿宋" w:eastAsia="仿宋"/>
          <w:sz w:val="24"/>
          <w:highlight w:val="none"/>
          <w:lang w:val="en-US" w:eastAsia="zh-CN"/>
        </w:rPr>
      </w:pPr>
      <w:r>
        <w:rPr>
          <w:rFonts w:hint="eastAsia" w:ascii="仿宋" w:eastAsia="仿宋"/>
          <w:sz w:val="24"/>
          <w:highlight w:val="none"/>
          <w:lang w:val="en-US" w:eastAsia="zh-CN"/>
        </w:rPr>
        <w:t>项目名称：</w:t>
      </w:r>
      <w:r>
        <w:rPr>
          <w:rFonts w:hint="eastAsia" w:ascii="仿宋" w:eastAsia="仿宋"/>
          <w:sz w:val="24"/>
          <w:highlight w:val="none"/>
          <w:u w:val="single"/>
        </w:rPr>
        <w:t xml:space="preserve">                       </w:t>
      </w:r>
    </w:p>
    <w:p>
      <w:pPr>
        <w:snapToGrid w:val="0"/>
        <w:spacing w:before="50" w:after="50"/>
        <w:rPr>
          <w:rFonts w:hint="eastAsia" w:ascii="仿宋" w:eastAsia="仿宋"/>
          <w:sz w:val="24"/>
          <w:highlight w:val="none"/>
          <w:u w:val="single"/>
        </w:rPr>
      </w:pPr>
      <w:r>
        <w:rPr>
          <w:rFonts w:hint="eastAsia" w:ascii="仿宋" w:eastAsia="仿宋"/>
          <w:sz w:val="24"/>
          <w:highlight w:val="none"/>
        </w:rPr>
        <w:t>项目编号：</w:t>
      </w:r>
      <w:r>
        <w:rPr>
          <w:rFonts w:hint="eastAsia" w:ascii="仿宋" w:eastAsia="仿宋"/>
          <w:sz w:val="24"/>
          <w:highlight w:val="none"/>
          <w:u w:val="single"/>
        </w:rPr>
        <w:t xml:space="preserve">                       </w:t>
      </w:r>
    </w:p>
    <w:p>
      <w:pPr>
        <w:pStyle w:val="5"/>
        <w:rPr>
          <w:rFonts w:hint="eastAsia" w:ascii="仿宋" w:hAnsi="仿宋" w:eastAsia="仿宋"/>
          <w:sz w:val="24"/>
          <w:szCs w:val="24"/>
          <w:highlight w:val="none"/>
        </w:rPr>
      </w:pPr>
      <w:r>
        <w:rPr>
          <w:rFonts w:hint="eastAsia" w:ascii="仿宋" w:hAnsi="仿宋" w:eastAsia="仿宋"/>
          <w:sz w:val="24"/>
          <w:szCs w:val="24"/>
          <w:highlight w:val="none"/>
          <w:lang w:eastAsia="zh-CN"/>
        </w:rPr>
        <w:t>报价</w:t>
      </w:r>
      <w:r>
        <w:rPr>
          <w:rFonts w:hint="eastAsia" w:ascii="仿宋" w:hAnsi="仿宋" w:eastAsia="仿宋"/>
          <w:sz w:val="24"/>
          <w:szCs w:val="24"/>
          <w:highlight w:val="none"/>
        </w:rPr>
        <w:t>供应商名称：</w:t>
      </w:r>
      <w:r>
        <w:rPr>
          <w:rFonts w:hint="eastAsia" w:ascii="仿宋" w:hAnsi="仿宋" w:eastAsia="仿宋"/>
          <w:sz w:val="24"/>
          <w:szCs w:val="24"/>
          <w:highlight w:val="none"/>
          <w:u w:val="single"/>
        </w:rPr>
        <w:t xml:space="preserve">                     </w:t>
      </w:r>
      <w:r>
        <w:rPr>
          <w:rFonts w:hint="eastAsia" w:ascii="仿宋" w:hAnsi="仿宋" w:eastAsia="仿宋"/>
          <w:sz w:val="24"/>
          <w:szCs w:val="24"/>
          <w:highlight w:val="none"/>
        </w:rPr>
        <w:t xml:space="preserve">                               单位：元</w:t>
      </w:r>
    </w:p>
    <w:tbl>
      <w:tblPr>
        <w:tblStyle w:val="6"/>
        <w:tblW w:w="10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566"/>
        <w:gridCol w:w="1579"/>
        <w:gridCol w:w="3034"/>
        <w:gridCol w:w="754"/>
        <w:gridCol w:w="1046"/>
        <w:gridCol w:w="1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blHeader/>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序号</w:t>
            </w:r>
          </w:p>
        </w:tc>
        <w:tc>
          <w:tcPr>
            <w:tcW w:w="156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仿宋" w:hAnsi="仿宋" w:eastAsia="仿宋" w:cs="仿宋"/>
                <w:b w:val="0"/>
                <w:bCs w:val="0"/>
                <w:sz w:val="21"/>
                <w:szCs w:val="21"/>
                <w:highlight w:val="none"/>
                <w:lang w:val="en-US" w:eastAsia="zh-CN"/>
              </w:rPr>
            </w:pPr>
            <w:r>
              <w:rPr>
                <w:rFonts w:hint="eastAsia" w:ascii="仿宋" w:hAnsi="仿宋" w:eastAsia="仿宋" w:cs="仿宋"/>
                <w:b w:val="0"/>
                <w:bCs w:val="0"/>
                <w:kern w:val="2"/>
                <w:sz w:val="21"/>
                <w:szCs w:val="21"/>
                <w:highlight w:val="none"/>
                <w:lang w:val="en-US" w:eastAsia="zh-CN" w:bidi="ar-SA"/>
              </w:rPr>
              <w:t>服务类别</w:t>
            </w:r>
          </w:p>
        </w:tc>
        <w:tc>
          <w:tcPr>
            <w:tcW w:w="157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kern w:val="2"/>
                <w:sz w:val="21"/>
                <w:szCs w:val="21"/>
                <w:highlight w:val="none"/>
                <w:lang w:val="en-US" w:eastAsia="zh-CN" w:bidi="ar-SA"/>
              </w:rPr>
              <w:t>服务内容</w:t>
            </w:r>
          </w:p>
        </w:tc>
        <w:tc>
          <w:tcPr>
            <w:tcW w:w="30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细分服务内容</w:t>
            </w:r>
          </w:p>
        </w:tc>
        <w:tc>
          <w:tcPr>
            <w:tcW w:w="75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数量</w:t>
            </w:r>
          </w:p>
          <w:p>
            <w:pPr>
              <w:spacing w:line="36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①</w:t>
            </w:r>
          </w:p>
        </w:tc>
        <w:tc>
          <w:tcPr>
            <w:tcW w:w="1046"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单价(元)②</w:t>
            </w:r>
          </w:p>
        </w:tc>
        <w:tc>
          <w:tcPr>
            <w:tcW w:w="1686"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单项合价（元）</w:t>
            </w:r>
          </w:p>
          <w:p>
            <w:pPr>
              <w:spacing w:line="36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③＝①×②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8"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1566" w:type="dxa"/>
            <w:vMerge w:val="restart"/>
            <w:tcBorders>
              <w:top w:val="single" w:color="auto" w:sz="4" w:space="0"/>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饮用水水源环境状况调查</w:t>
            </w:r>
          </w:p>
        </w:tc>
        <w:tc>
          <w:tcPr>
            <w:tcW w:w="1579" w:type="dxa"/>
            <w:vMerge w:val="restart"/>
            <w:tcBorders>
              <w:top w:val="single" w:color="auto" w:sz="4" w:space="0"/>
              <w:left w:val="single" w:color="auto" w:sz="4" w:space="0"/>
              <w:right w:val="single" w:color="auto" w:sz="4" w:space="0"/>
            </w:tcBorders>
            <w:noWrap w:val="0"/>
            <w:vAlign w:val="center"/>
          </w:tcPr>
          <w:p>
            <w:pPr>
              <w:rPr>
                <w:rFonts w:hint="default" w:ascii="仿宋" w:hAnsi="仿宋" w:eastAsia="仿宋" w:cs="仿宋"/>
                <w:sz w:val="21"/>
                <w:szCs w:val="21"/>
                <w:highlight w:val="none"/>
                <w:lang w:val="en-US" w:eastAsia="zh-CN"/>
              </w:rPr>
            </w:pPr>
            <w:bookmarkStart w:id="0" w:name="OLE_LINK1"/>
            <w:r>
              <w:rPr>
                <w:rFonts w:hint="default" w:ascii="仿宋" w:hAnsi="仿宋" w:eastAsia="仿宋" w:cs="仿宋"/>
                <w:sz w:val="21"/>
                <w:szCs w:val="21"/>
                <w:highlight w:val="none"/>
                <w:lang w:val="en-US" w:eastAsia="zh-CN"/>
              </w:rPr>
              <w:t>饮用水水源基础环境状况</w:t>
            </w:r>
            <w:bookmarkEnd w:id="0"/>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sz w:val="21"/>
                <w:szCs w:val="21"/>
                <w:highlight w:val="none"/>
                <w:lang w:val="en-US" w:eastAsia="zh-CN"/>
              </w:rPr>
            </w:pPr>
            <w:r>
              <w:rPr>
                <w:rFonts w:hint="default" w:ascii="仿宋" w:hAnsi="仿宋" w:eastAsia="仿宋" w:cs="仿宋"/>
                <w:sz w:val="21"/>
                <w:szCs w:val="21"/>
                <w:highlight w:val="none"/>
                <w:lang w:val="en-US" w:eastAsia="zh-CN"/>
              </w:rPr>
              <w:t>水源地基础状况调查（核查水源地基础信息。水源名称、水源类型(如河流、湖泊(水库)、地下水)、取水口位置及附近的设施，包括水工建筑物、防洪堤工程、水上交通运输及航道分布等）</w:t>
            </w:r>
          </w:p>
        </w:tc>
        <w:tc>
          <w:tcPr>
            <w:tcW w:w="7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2"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rPr>
            </w:pPr>
          </w:p>
        </w:tc>
        <w:tc>
          <w:tcPr>
            <w:tcW w:w="1579" w:type="dxa"/>
            <w:vMerge w:val="continue"/>
            <w:tcBorders>
              <w:left w:val="single" w:color="auto" w:sz="4" w:space="0"/>
              <w:right w:val="single" w:color="auto" w:sz="4" w:space="0"/>
            </w:tcBorders>
            <w:noWrap w:val="0"/>
            <w:vAlign w:val="center"/>
          </w:tcPr>
          <w:p>
            <w:pPr>
              <w:pStyle w:val="2"/>
              <w:rPr>
                <w:rFonts w:hint="default"/>
                <w:lang w:val="en-US" w:eastAsia="zh-CN"/>
              </w:rPr>
            </w:pPr>
          </w:p>
        </w:tc>
        <w:tc>
          <w:tcPr>
            <w:tcW w:w="3034" w:type="dxa"/>
            <w:tcBorders>
              <w:top w:val="single" w:color="auto" w:sz="4" w:space="0"/>
              <w:left w:val="single" w:color="auto" w:sz="4" w:space="0"/>
              <w:bottom w:val="single" w:color="auto" w:sz="4" w:space="0"/>
              <w:right w:val="single" w:color="auto" w:sz="4" w:space="0"/>
            </w:tcBorders>
            <w:noWrap w:val="0"/>
            <w:vAlign w:val="center"/>
          </w:tcPr>
          <w:p>
            <w:pPr>
              <w:pStyle w:val="2"/>
              <w:rPr>
                <w:rFonts w:hint="default"/>
                <w:lang w:val="en-US" w:eastAsia="zh-CN"/>
              </w:rPr>
            </w:pPr>
            <w:r>
              <w:rPr>
                <w:rFonts w:hint="default" w:ascii="仿宋" w:hAnsi="仿宋" w:eastAsia="仿宋" w:cs="仿宋"/>
                <w:b w:val="0"/>
                <w:bCs w:val="0"/>
                <w:kern w:val="2"/>
                <w:sz w:val="21"/>
                <w:szCs w:val="21"/>
                <w:highlight w:val="none"/>
                <w:lang w:val="en-US" w:eastAsia="zh-CN" w:bidi="ar-SA"/>
              </w:rPr>
              <w:t>水源地运行状况（水源地建设时间、工程设计取水量、实际取水量、取水方式等;水源地使用状况(在用、备用、规划)）</w:t>
            </w:r>
          </w:p>
        </w:tc>
        <w:tc>
          <w:tcPr>
            <w:tcW w:w="754"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rPr>
                <w:rFonts w:hint="eastAsia" w:ascii="仿宋" w:hAnsi="仿宋" w:eastAsia="仿宋" w:cs="仿宋"/>
                <w:sz w:val="21"/>
                <w:szCs w:val="21"/>
                <w:highlight w:val="none"/>
                <w:lang w:val="en-US" w:eastAsia="zh-CN"/>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9"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rPr>
            </w:pPr>
          </w:p>
        </w:tc>
        <w:tc>
          <w:tcPr>
            <w:tcW w:w="1579" w:type="dxa"/>
            <w:vMerge w:val="continue"/>
            <w:tcBorders>
              <w:left w:val="single" w:color="auto" w:sz="4" w:space="0"/>
              <w:right w:val="single" w:color="auto" w:sz="4" w:space="0"/>
            </w:tcBorders>
            <w:noWrap w:val="0"/>
            <w:vAlign w:val="center"/>
          </w:tcPr>
          <w:p>
            <w:pPr>
              <w:rPr>
                <w:rFonts w:hint="default"/>
                <w:lang w:val="en-US" w:eastAsia="zh-CN"/>
              </w:rPr>
            </w:pP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水源服务区域调查（用水量、服务人口、与水厂的距离及输水方式）</w:t>
            </w:r>
          </w:p>
        </w:tc>
        <w:tc>
          <w:tcPr>
            <w:tcW w:w="754"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rPr>
                <w:rFonts w:hint="eastAsia" w:ascii="仿宋" w:hAnsi="仿宋" w:eastAsia="仿宋" w:cs="仿宋"/>
                <w:sz w:val="21"/>
                <w:szCs w:val="21"/>
                <w:highlight w:val="none"/>
                <w:lang w:val="en-US" w:eastAsia="zh-CN"/>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9"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vMerge w:val="continue"/>
            <w:tcBorders>
              <w:left w:val="single" w:color="auto" w:sz="4" w:space="0"/>
              <w:right w:val="single" w:color="auto" w:sz="4" w:space="0"/>
            </w:tcBorders>
            <w:noWrap w:val="0"/>
            <w:vAlign w:val="center"/>
          </w:tcPr>
          <w:p>
            <w:pPr>
              <w:rPr>
                <w:rFonts w:hint="default"/>
                <w:lang w:val="en-US" w:eastAsia="zh-CN"/>
              </w:rPr>
            </w:pP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水源服务水厂调查。（核查水厂规模、处理工艺及处理效率）</w:t>
            </w:r>
          </w:p>
        </w:tc>
        <w:tc>
          <w:tcPr>
            <w:tcW w:w="754"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rPr>
                <w:rFonts w:hint="eastAsia" w:ascii="仿宋" w:hAnsi="仿宋" w:eastAsia="仿宋" w:cs="仿宋"/>
                <w:sz w:val="21"/>
                <w:szCs w:val="21"/>
                <w:highlight w:val="none"/>
                <w:lang w:val="en-US" w:eastAsia="zh-CN"/>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7"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vMerge w:val="continue"/>
            <w:tcBorders>
              <w:left w:val="single" w:color="auto" w:sz="4" w:space="0"/>
              <w:right w:val="single" w:color="auto" w:sz="4" w:space="0"/>
            </w:tcBorders>
            <w:noWrap w:val="0"/>
            <w:vAlign w:val="center"/>
          </w:tcPr>
          <w:p>
            <w:pPr>
              <w:rPr>
                <w:rFonts w:hint="default"/>
                <w:lang w:val="en-US" w:eastAsia="zh-CN"/>
              </w:rPr>
            </w:pP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lang w:val="en-US" w:eastAsia="zh-CN"/>
              </w:rPr>
            </w:pPr>
            <w:r>
              <w:rPr>
                <w:rFonts w:hint="default" w:ascii="仿宋" w:hAnsi="仿宋" w:eastAsia="仿宋" w:cs="仿宋"/>
                <w:b w:val="0"/>
                <w:bCs w:val="0"/>
                <w:kern w:val="2"/>
                <w:sz w:val="21"/>
                <w:szCs w:val="21"/>
                <w:highlight w:val="none"/>
                <w:lang w:val="en-US" w:eastAsia="zh-CN" w:bidi="ar-SA"/>
              </w:rPr>
              <w:t>管理状况调查（水源地及供水管理机制、管理制度、管理政策等）</w:t>
            </w:r>
          </w:p>
        </w:tc>
        <w:tc>
          <w:tcPr>
            <w:tcW w:w="754"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rPr>
                <w:rFonts w:hint="eastAsia" w:ascii="仿宋" w:hAnsi="仿宋" w:eastAsia="仿宋" w:cs="仿宋"/>
                <w:sz w:val="21"/>
                <w:szCs w:val="21"/>
                <w:highlight w:val="none"/>
                <w:lang w:val="en-US" w:eastAsia="zh-CN"/>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vMerge w:val="continue"/>
            <w:tcBorders>
              <w:left w:val="single" w:color="auto" w:sz="4" w:space="0"/>
              <w:bottom w:val="single" w:color="auto" w:sz="4" w:space="0"/>
              <w:right w:val="single" w:color="auto" w:sz="4" w:space="0"/>
            </w:tcBorders>
            <w:noWrap w:val="0"/>
            <w:vAlign w:val="center"/>
          </w:tcPr>
          <w:p>
            <w:pPr>
              <w:pStyle w:val="2"/>
              <w:rPr>
                <w:rFonts w:hint="default"/>
                <w:lang w:val="en-US" w:eastAsia="zh-CN"/>
              </w:rPr>
            </w:pPr>
          </w:p>
        </w:tc>
        <w:tc>
          <w:tcPr>
            <w:tcW w:w="3034" w:type="dxa"/>
            <w:tcBorders>
              <w:top w:val="single" w:color="auto" w:sz="4" w:space="0"/>
              <w:left w:val="single" w:color="auto" w:sz="4" w:space="0"/>
              <w:bottom w:val="single" w:color="auto" w:sz="4" w:space="0"/>
              <w:right w:val="single" w:color="auto" w:sz="4" w:space="0"/>
            </w:tcBorders>
            <w:noWrap w:val="0"/>
            <w:vAlign w:val="center"/>
          </w:tcPr>
          <w:p>
            <w:pPr>
              <w:pStyle w:val="2"/>
              <w:rPr>
                <w:rFonts w:hint="default"/>
                <w:lang w:val="en-US" w:eastAsia="zh-CN"/>
              </w:rPr>
            </w:pPr>
            <w:r>
              <w:rPr>
                <w:rFonts w:hint="default" w:ascii="仿宋" w:hAnsi="仿宋" w:eastAsia="仿宋" w:cs="仿宋"/>
                <w:b w:val="0"/>
                <w:bCs w:val="0"/>
                <w:kern w:val="2"/>
                <w:sz w:val="21"/>
                <w:szCs w:val="21"/>
                <w:highlight w:val="none"/>
                <w:lang w:val="en-US" w:eastAsia="zh-CN" w:bidi="ar-SA"/>
              </w:rPr>
              <w:t>其他（</w:t>
            </w:r>
            <w:bookmarkStart w:id="1" w:name="OLE_LINK15"/>
            <w:r>
              <w:rPr>
                <w:rFonts w:hint="default" w:ascii="仿宋" w:hAnsi="仿宋" w:eastAsia="仿宋" w:cs="仿宋"/>
                <w:b w:val="0"/>
                <w:bCs w:val="0"/>
                <w:kern w:val="2"/>
                <w:sz w:val="21"/>
                <w:szCs w:val="21"/>
                <w:highlight w:val="none"/>
                <w:lang w:val="en-US" w:eastAsia="zh-CN" w:bidi="ar-SA"/>
              </w:rPr>
              <w:t>应对突发环境事件的应急响应能力调查等</w:t>
            </w:r>
            <w:bookmarkEnd w:id="1"/>
            <w:r>
              <w:rPr>
                <w:rFonts w:hint="default" w:ascii="仿宋" w:hAnsi="仿宋" w:eastAsia="仿宋" w:cs="仿宋"/>
                <w:b w:val="0"/>
                <w:bCs w:val="0"/>
                <w:kern w:val="2"/>
                <w:sz w:val="21"/>
                <w:szCs w:val="21"/>
                <w:highlight w:val="none"/>
                <w:lang w:val="en-US" w:eastAsia="zh-CN" w:bidi="ar-SA"/>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rPr>
                <w:rFonts w:hint="eastAsia" w:ascii="仿宋" w:hAnsi="仿宋" w:eastAsia="仿宋" w:cs="仿宋"/>
                <w:sz w:val="21"/>
                <w:szCs w:val="21"/>
                <w:highlight w:val="none"/>
                <w:lang w:val="en-US" w:eastAsia="zh-CN"/>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9"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vMerge w:val="restart"/>
            <w:tcBorders>
              <w:top w:val="single" w:color="auto" w:sz="4" w:space="0"/>
              <w:left w:val="single" w:color="auto" w:sz="4" w:space="0"/>
              <w:right w:val="single" w:color="auto" w:sz="4" w:space="0"/>
            </w:tcBorders>
            <w:noWrap w:val="0"/>
            <w:vAlign w:val="center"/>
          </w:tcPr>
          <w:p>
            <w:pPr>
              <w:pStyle w:val="2"/>
              <w:rPr>
                <w:rFonts w:hint="default"/>
                <w:lang w:val="en-US" w:eastAsia="zh-CN"/>
              </w:rPr>
            </w:pPr>
            <w:r>
              <w:rPr>
                <w:rFonts w:hint="default" w:ascii="仿宋" w:hAnsi="仿宋" w:eastAsia="仿宋" w:cs="仿宋"/>
                <w:b w:val="0"/>
                <w:bCs w:val="0"/>
                <w:kern w:val="2"/>
                <w:sz w:val="21"/>
                <w:szCs w:val="21"/>
                <w:highlight w:val="none"/>
                <w:lang w:val="en-US" w:eastAsia="zh-CN" w:bidi="ar-SA"/>
              </w:rPr>
              <w:t>社会经济及土地利用概况调查</w:t>
            </w:r>
          </w:p>
        </w:tc>
        <w:tc>
          <w:tcPr>
            <w:tcW w:w="3034" w:type="dxa"/>
            <w:tcBorders>
              <w:top w:val="single" w:color="auto" w:sz="4" w:space="0"/>
              <w:left w:val="single" w:color="auto" w:sz="4" w:space="0"/>
              <w:bottom w:val="single" w:color="auto" w:sz="4" w:space="0"/>
              <w:right w:val="single" w:color="auto" w:sz="4" w:space="0"/>
            </w:tcBorders>
            <w:noWrap w:val="0"/>
            <w:vAlign w:val="center"/>
          </w:tcPr>
          <w:p>
            <w:pPr>
              <w:pStyle w:val="2"/>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社会经济状况（行政区划分、人口及分布； 水源地所在流域的产业结构及布局。包括工业结构(工业类型和布局、企业主要原料和成品、距取水口的距离)、农业种植养殖结构、能源结构与道路交通状况等。）</w:t>
            </w:r>
          </w:p>
        </w:tc>
        <w:tc>
          <w:tcPr>
            <w:tcW w:w="754"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rPr>
                <w:rFonts w:hint="eastAsia" w:ascii="仿宋" w:hAnsi="仿宋" w:eastAsia="仿宋" w:cs="仿宋"/>
                <w:sz w:val="21"/>
                <w:szCs w:val="21"/>
                <w:highlight w:val="none"/>
                <w:lang w:val="en-US" w:eastAsia="zh-CN"/>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9"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vMerge w:val="continue"/>
            <w:tcBorders>
              <w:left w:val="single" w:color="auto" w:sz="4" w:space="0"/>
              <w:bottom w:val="single" w:color="auto" w:sz="4" w:space="0"/>
              <w:right w:val="single" w:color="auto" w:sz="4" w:space="0"/>
            </w:tcBorders>
            <w:noWrap w:val="0"/>
            <w:vAlign w:val="center"/>
          </w:tcPr>
          <w:p>
            <w:pPr>
              <w:pStyle w:val="2"/>
              <w:rPr>
                <w:rFonts w:hint="default" w:ascii="仿宋" w:hAnsi="仿宋" w:eastAsia="仿宋" w:cs="仿宋"/>
                <w:b w:val="0"/>
                <w:bCs w:val="0"/>
                <w:kern w:val="2"/>
                <w:sz w:val="21"/>
                <w:szCs w:val="21"/>
                <w:highlight w:val="none"/>
                <w:lang w:val="en-US" w:eastAsia="zh-CN" w:bidi="ar-SA"/>
              </w:rPr>
            </w:pPr>
          </w:p>
        </w:tc>
        <w:tc>
          <w:tcPr>
            <w:tcW w:w="3034" w:type="dxa"/>
            <w:tcBorders>
              <w:top w:val="single" w:color="auto" w:sz="4" w:space="0"/>
              <w:left w:val="single" w:color="auto" w:sz="4" w:space="0"/>
              <w:bottom w:val="single" w:color="auto" w:sz="4" w:space="0"/>
              <w:right w:val="single" w:color="auto" w:sz="4" w:space="0"/>
            </w:tcBorders>
            <w:noWrap w:val="0"/>
            <w:vAlign w:val="center"/>
          </w:tcPr>
          <w:p>
            <w:pPr>
              <w:pStyle w:val="2"/>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土地利用情况（工业、交通、城镇用地、农村居民用地、农业种植用地、农业设施用地、林地、草地、荒山等面积及比例；水源涵养林、护岸林和自然湿地面积及维护情况；水源地周边采石场、陆地面积，坡耕地面积及其占耕地面积比例，水土流失及治理面积土壤侵蚀模数等参数。）</w:t>
            </w:r>
          </w:p>
        </w:tc>
        <w:tc>
          <w:tcPr>
            <w:tcW w:w="754"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rPr>
                <w:rFonts w:hint="eastAsia" w:ascii="仿宋" w:hAnsi="仿宋" w:eastAsia="仿宋" w:cs="仿宋"/>
                <w:sz w:val="21"/>
                <w:szCs w:val="21"/>
                <w:highlight w:val="none"/>
                <w:lang w:val="en-US" w:eastAsia="zh-CN"/>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68"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tcBorders>
              <w:top w:val="single" w:color="auto" w:sz="4" w:space="0"/>
              <w:left w:val="single" w:color="auto" w:sz="4" w:space="0"/>
              <w:bottom w:val="single" w:color="auto" w:sz="4" w:space="0"/>
              <w:right w:val="single" w:color="auto" w:sz="4" w:space="0"/>
            </w:tcBorders>
            <w:noWrap w:val="0"/>
            <w:vAlign w:val="center"/>
          </w:tcPr>
          <w:p>
            <w:pPr>
              <w:pStyle w:val="2"/>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相关规划、区划情况调查</w:t>
            </w:r>
          </w:p>
        </w:tc>
        <w:tc>
          <w:tcPr>
            <w:tcW w:w="3034" w:type="dxa"/>
            <w:tcBorders>
              <w:top w:val="single" w:color="auto" w:sz="4" w:space="0"/>
              <w:left w:val="single" w:color="auto" w:sz="4" w:space="0"/>
              <w:bottom w:val="single" w:color="auto" w:sz="4" w:space="0"/>
              <w:right w:val="single" w:color="auto" w:sz="4" w:space="0"/>
            </w:tcBorders>
            <w:noWrap w:val="0"/>
            <w:vAlign w:val="center"/>
          </w:tcPr>
          <w:p>
            <w:pPr>
              <w:pStyle w:val="2"/>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水源(取水口)所在水体的水功能、水环境功能区划、区域土地利用规划、区域社会经济发展规划、城乡规划、区域水环境保护规划、区域供水规划、港口总体规划、航运发展规划、航道发展规划、公路网规划、长江千线采砂规划等涉及水源地保护相关内容等资料。</w:t>
            </w:r>
          </w:p>
        </w:tc>
        <w:tc>
          <w:tcPr>
            <w:tcW w:w="754"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rPr>
                <w:rFonts w:hint="eastAsia" w:ascii="仿宋" w:hAnsi="仿宋" w:eastAsia="仿宋" w:cs="仿宋"/>
                <w:sz w:val="21"/>
                <w:szCs w:val="21"/>
                <w:highlight w:val="none"/>
                <w:lang w:val="en-US" w:eastAsia="zh-CN"/>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4"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10</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vMerge w:val="restart"/>
            <w:tcBorders>
              <w:top w:val="single" w:color="auto" w:sz="4" w:space="0"/>
              <w:left w:val="single" w:color="auto" w:sz="4" w:space="0"/>
              <w:right w:val="single" w:color="auto" w:sz="4" w:space="0"/>
            </w:tcBorders>
            <w:noWrap w:val="0"/>
            <w:vAlign w:val="center"/>
          </w:tcPr>
          <w:p>
            <w:pPr>
              <w:rPr>
                <w:rFonts w:hint="default"/>
                <w:lang w:val="en-US" w:eastAsia="zh-CN"/>
              </w:rPr>
            </w:pPr>
            <w:r>
              <w:rPr>
                <w:rFonts w:hint="default" w:ascii="仿宋" w:hAnsi="仿宋" w:eastAsia="仿宋" w:cs="仿宋"/>
                <w:b w:val="0"/>
                <w:bCs w:val="0"/>
                <w:kern w:val="2"/>
                <w:sz w:val="21"/>
                <w:szCs w:val="21"/>
                <w:highlight w:val="none"/>
                <w:lang w:val="en-US" w:eastAsia="zh-CN" w:bidi="ar-SA"/>
              </w:rPr>
              <w:t>自然地理特征调查</w:t>
            </w: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lang w:val="en-US" w:eastAsia="zh-CN"/>
              </w:rPr>
            </w:pPr>
            <w:r>
              <w:rPr>
                <w:rFonts w:hint="default" w:ascii="仿宋" w:hAnsi="仿宋" w:eastAsia="仿宋" w:cs="仿宋"/>
                <w:b w:val="0"/>
                <w:bCs w:val="0"/>
                <w:kern w:val="2"/>
                <w:sz w:val="21"/>
                <w:szCs w:val="21"/>
                <w:highlight w:val="none"/>
                <w:lang w:val="en-US" w:eastAsia="zh-CN" w:bidi="ar-SA"/>
              </w:rPr>
              <w:t>水源地自然特征（地表水水源取水口及所在水域的地理位置和经纬度湖库流域边界，河流、湖库的长度、面积、库容。）</w:t>
            </w:r>
          </w:p>
        </w:tc>
        <w:tc>
          <w:tcPr>
            <w:tcW w:w="754"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rPr>
                <w:rFonts w:hint="eastAsia" w:ascii="仿宋" w:hAnsi="仿宋" w:eastAsia="仿宋" w:cs="仿宋"/>
                <w:sz w:val="21"/>
                <w:szCs w:val="21"/>
                <w:highlight w:val="none"/>
                <w:lang w:val="en-US" w:eastAsia="zh-CN"/>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0"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11</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vMerge w:val="continue"/>
            <w:tcBorders>
              <w:left w:val="single" w:color="auto" w:sz="4" w:space="0"/>
              <w:bottom w:val="single" w:color="auto" w:sz="4" w:space="0"/>
              <w:right w:val="single" w:color="auto" w:sz="4" w:space="0"/>
            </w:tcBorders>
            <w:noWrap w:val="0"/>
            <w:vAlign w:val="center"/>
          </w:tcPr>
          <w:p>
            <w:pPr>
              <w:rPr>
                <w:rFonts w:hint="default"/>
                <w:lang w:val="en-US" w:eastAsia="zh-CN"/>
              </w:rPr>
            </w:pP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地表水饮用水水源水文特征（水库的面积和形状，库容，水位、流入、流出的水量，停留时间，水库调度和贮量，水温分层情况及水流状况(湖流的流向和流速，环流的流向、流速及稳定时间) 等。）</w:t>
            </w:r>
          </w:p>
        </w:tc>
        <w:tc>
          <w:tcPr>
            <w:tcW w:w="754"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rPr>
                <w:rFonts w:hint="eastAsia" w:ascii="仿宋" w:hAnsi="仿宋" w:eastAsia="仿宋" w:cs="仿宋"/>
                <w:sz w:val="21"/>
                <w:szCs w:val="21"/>
                <w:highlight w:val="none"/>
                <w:lang w:val="en-US" w:eastAsia="zh-CN"/>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0"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12</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tcBorders>
              <w:left w:val="single" w:color="auto" w:sz="4" w:space="0"/>
              <w:bottom w:val="single" w:color="auto" w:sz="4" w:space="0"/>
              <w:right w:val="single" w:color="auto" w:sz="4" w:space="0"/>
            </w:tcBorders>
            <w:noWrap w:val="0"/>
            <w:vAlign w:val="center"/>
          </w:tcPr>
          <w:p>
            <w:pPr>
              <w:rPr>
                <w:rFonts w:hint="default"/>
                <w:lang w:val="en-US" w:eastAsia="zh-CN"/>
              </w:rPr>
            </w:pPr>
            <w:r>
              <w:rPr>
                <w:rFonts w:hint="default" w:ascii="仿宋" w:hAnsi="仿宋" w:eastAsia="仿宋" w:cs="仿宋"/>
                <w:b w:val="0"/>
                <w:bCs w:val="0"/>
                <w:kern w:val="2"/>
                <w:sz w:val="21"/>
                <w:szCs w:val="21"/>
                <w:highlight w:val="none"/>
                <w:lang w:val="en-US" w:eastAsia="zh-CN" w:bidi="ar-SA"/>
              </w:rPr>
              <w:t>饮用水水源水质调查与评价</w:t>
            </w: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开展水质监测（111项）及水质评价结果、超标项目、超标倍数、超标频次及超示原因。评价指标、方法和参数参照 GB 3838， 湖泊、水库水源补充综合营养状态指数的评价。</w:t>
            </w:r>
          </w:p>
        </w:tc>
        <w:tc>
          <w:tcPr>
            <w:tcW w:w="754"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rPr>
                <w:rFonts w:hint="eastAsia" w:ascii="仿宋" w:hAnsi="仿宋" w:eastAsia="仿宋" w:cs="仿宋"/>
                <w:sz w:val="21"/>
                <w:szCs w:val="21"/>
                <w:highlight w:val="none"/>
                <w:lang w:val="en-US" w:eastAsia="zh-CN"/>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9"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13</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vMerge w:val="restart"/>
            <w:tcBorders>
              <w:left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水库污染源调查</w:t>
            </w: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点源（工业或生活排污口，包括:排污口名称、污染源位置(说明与取水口的距离和位置关系)、污染源排污口位置、排放量、排放方式、排放途径、去向、主要污染物及其浓度、废水处理和综合利用状况等。规模化畜禽养殖，包括: 规模化畜禽养殖企业的养殖种类及数量、年用水及排水量、排污方式、处理工艺、排放污水浓度、去向等。）</w:t>
            </w:r>
          </w:p>
        </w:tc>
        <w:tc>
          <w:tcPr>
            <w:tcW w:w="7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val="0"/>
                <w:kern w:val="2"/>
                <w:sz w:val="21"/>
                <w:szCs w:val="21"/>
                <w:highlight w:val="none"/>
                <w:lang w:val="en-US" w:eastAsia="zh-CN" w:bidi="ar-SA"/>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2"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14</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vMerge w:val="continue"/>
            <w:tcBorders>
              <w:left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非点源（种植业污染调查，包括:农田面积、坡度、农作物类型、土壤类型、年降雨量、轮作方式、历史和现状化肥农药施用种类和数量、施用方式等。农村生活污水及固体废物，包括: 农村综合用水量和排水量、农村人口数量、分散式畜禽养殖种类和数量。分散式畜禽养殖污染源，包括: 分散式畜禽养殖企业的养殖种类及数量、年用水及排水量、排污方式、是否处理及处理工艺、排放污水浓度、去向等。涉及重金属的矿产资源、放射性矿产资源和油田等分布情况调查）</w:t>
            </w:r>
          </w:p>
        </w:tc>
        <w:tc>
          <w:tcPr>
            <w:tcW w:w="7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val="0"/>
                <w:kern w:val="2"/>
                <w:sz w:val="21"/>
                <w:szCs w:val="21"/>
                <w:highlight w:val="none"/>
                <w:lang w:val="en-US" w:eastAsia="zh-CN" w:bidi="ar-SA"/>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9"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15</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vMerge w:val="continue"/>
            <w:tcBorders>
              <w:left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固体废物堆放 (填埋) 场调查（ 工业固体废物堆放(填埋) 场应测定其位置、堆积面积、堆积高度、堆积量等，开展堆放(填埋)场渗漏检测，并了解其底部、侧部渗透性能及防渗情况，以及堆放(填埋) 废物的类型及组成情况。 对生活污染源中的生活垃圾、粪便等，应调查其物质组成及排放、储存、处理利用状况。）</w:t>
            </w:r>
          </w:p>
        </w:tc>
        <w:tc>
          <w:tcPr>
            <w:tcW w:w="7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val="0"/>
                <w:kern w:val="2"/>
                <w:sz w:val="21"/>
                <w:szCs w:val="21"/>
                <w:highlight w:val="none"/>
                <w:lang w:val="en-US" w:eastAsia="zh-CN" w:bidi="ar-SA"/>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3"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16</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vMerge w:val="continue"/>
            <w:tcBorders>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流动源（流动源应重点调查地表水水源取水口上游客货运码头分布、等级和前三年吞吐量及主要货种、水上交通运输量、运输物质类别、航道及航道保护范围等;对地表水源取水口周边或上游有跨河大桥、地下水水源地周边陆地道路的交通运输情况，需补充调查如运输物质种类、车载重量、行驶路线等信息。）</w:t>
            </w:r>
          </w:p>
        </w:tc>
        <w:tc>
          <w:tcPr>
            <w:tcW w:w="7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val="0"/>
                <w:kern w:val="2"/>
                <w:sz w:val="21"/>
                <w:szCs w:val="21"/>
                <w:highlight w:val="none"/>
                <w:lang w:val="en-US" w:eastAsia="zh-CN" w:bidi="ar-SA"/>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7"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17</w:t>
            </w:r>
          </w:p>
        </w:tc>
        <w:tc>
          <w:tcPr>
            <w:tcW w:w="1566" w:type="dxa"/>
            <w:vMerge w:val="continue"/>
            <w:tcBorders>
              <w:left w:val="single" w:color="auto" w:sz="4" w:space="0"/>
              <w:bottom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tcBorders>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饮用水水源地环境管理状况调查</w:t>
            </w: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饮用水水源保护区周边道路危险品的运输情况及管理措施。 饮用水水源地预警与应急能力情况。.曾经发生的突发环境事件及应急情况，包括突发环境事件的起因、污染类型、影响范围、持续时间、应对措施等。</w:t>
            </w:r>
          </w:p>
        </w:tc>
        <w:tc>
          <w:tcPr>
            <w:tcW w:w="7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val="0"/>
                <w:kern w:val="2"/>
                <w:sz w:val="21"/>
                <w:szCs w:val="21"/>
                <w:highlight w:val="none"/>
                <w:lang w:val="en-US" w:eastAsia="zh-CN" w:bidi="ar-SA"/>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1"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18</w:t>
            </w:r>
          </w:p>
        </w:tc>
        <w:tc>
          <w:tcPr>
            <w:tcW w:w="1566" w:type="dxa"/>
            <w:vMerge w:val="restart"/>
            <w:tcBorders>
              <w:top w:val="single" w:color="auto" w:sz="4" w:space="0"/>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保护区划分与定界</w:t>
            </w:r>
          </w:p>
        </w:tc>
        <w:tc>
          <w:tcPr>
            <w:tcW w:w="1579" w:type="dxa"/>
            <w:tcBorders>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保护划分方法确定</w:t>
            </w: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确定各级保护区划分(调整)的技术方法，说明选用的技术指标、数值计算方法及理由、准保护区划分(调整) 的必要性及意义等。</w:t>
            </w:r>
          </w:p>
        </w:tc>
        <w:tc>
          <w:tcPr>
            <w:tcW w:w="7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val="0"/>
                <w:kern w:val="2"/>
                <w:sz w:val="21"/>
                <w:szCs w:val="21"/>
                <w:highlight w:val="none"/>
                <w:lang w:val="en-US" w:eastAsia="zh-CN" w:bidi="ar-SA"/>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9"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19</w:t>
            </w:r>
          </w:p>
        </w:tc>
        <w:tc>
          <w:tcPr>
            <w:tcW w:w="1566" w:type="dxa"/>
            <w:vMerge w:val="continue"/>
            <w:tcBorders>
              <w:left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tcBorders>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保护区划分范围确定</w:t>
            </w: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一级保护区、二级保护区及准保护区范围确定与划分</w:t>
            </w:r>
          </w:p>
        </w:tc>
        <w:tc>
          <w:tcPr>
            <w:tcW w:w="7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val="0"/>
                <w:kern w:val="2"/>
                <w:sz w:val="21"/>
                <w:szCs w:val="21"/>
                <w:highlight w:val="none"/>
                <w:lang w:val="en-US" w:eastAsia="zh-CN" w:bidi="ar-SA"/>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7"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20</w:t>
            </w:r>
          </w:p>
        </w:tc>
        <w:tc>
          <w:tcPr>
            <w:tcW w:w="1566" w:type="dxa"/>
            <w:vMerge w:val="continue"/>
            <w:tcBorders>
              <w:left w:val="single" w:color="auto" w:sz="4" w:space="0"/>
              <w:bottom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p>
        </w:tc>
        <w:tc>
          <w:tcPr>
            <w:tcW w:w="1579" w:type="dxa"/>
            <w:tcBorders>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饮用水水源地保护区定界方案</w:t>
            </w: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完成保护区划分技术方案和电子图件后，立即开展现场定界工作。充分利用水库饮用水水源保护区范围内具有永久性的明显标志，如分水线、行政区界限、公路、铁路、桥梁、大型建筑物、水库大坝、水工建筑物、河流汊口、航道、输电线、通信线等标示，结合官道河水库水源保护区地形、地标、地物特点，确定各级保护区的地理界限、并修改完善电子图件。还应按照顺时针方向确定主要拐点的经纬度坐标，并最终确定各级保护区坐标红线图、表。定界时，测量精度、记录数据和成果的精度应达到亚米级（误差不小于1dm）</w:t>
            </w:r>
          </w:p>
        </w:tc>
        <w:tc>
          <w:tcPr>
            <w:tcW w:w="7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val="0"/>
                <w:kern w:val="2"/>
                <w:sz w:val="21"/>
                <w:szCs w:val="21"/>
                <w:highlight w:val="none"/>
                <w:lang w:val="en-US" w:eastAsia="zh-CN" w:bidi="ar-SA"/>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1"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21</w:t>
            </w: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饮用水水源地规划化建设与管理要求</w:t>
            </w:r>
          </w:p>
        </w:tc>
        <w:tc>
          <w:tcPr>
            <w:tcW w:w="1579" w:type="dxa"/>
            <w:tcBorders>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饮用水水源地规范化预算</w:t>
            </w: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针对于水源地提出规划化建设内容，初步核算规范化建设金额，提出相应的管理要求</w:t>
            </w:r>
          </w:p>
        </w:tc>
        <w:tc>
          <w:tcPr>
            <w:tcW w:w="7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val="0"/>
                <w:kern w:val="2"/>
                <w:sz w:val="21"/>
                <w:szCs w:val="21"/>
                <w:highlight w:val="none"/>
                <w:lang w:val="en-US" w:eastAsia="zh-CN" w:bidi="ar-SA"/>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9"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22</w:t>
            </w: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bookmarkStart w:id="2" w:name="OLE_LINK2"/>
            <w:r>
              <w:rPr>
                <w:rFonts w:hint="eastAsia" w:ascii="仿宋" w:hAnsi="仿宋" w:eastAsia="仿宋" w:cs="仿宋"/>
                <w:sz w:val="21"/>
                <w:szCs w:val="21"/>
                <w:highlight w:val="none"/>
                <w:lang w:val="en-US" w:eastAsia="zh-CN"/>
              </w:rPr>
              <w:t>饮用水水源地保护区划分技术报告</w:t>
            </w:r>
            <w:bookmarkEnd w:id="2"/>
            <w:r>
              <w:rPr>
                <w:rFonts w:hint="eastAsia" w:ascii="仿宋" w:hAnsi="仿宋" w:eastAsia="仿宋" w:cs="仿宋"/>
                <w:sz w:val="21"/>
                <w:szCs w:val="21"/>
                <w:highlight w:val="none"/>
                <w:lang w:val="en-US" w:eastAsia="zh-CN"/>
              </w:rPr>
              <w:t>汇编与内审</w:t>
            </w:r>
          </w:p>
        </w:tc>
        <w:tc>
          <w:tcPr>
            <w:tcW w:w="1579" w:type="dxa"/>
            <w:tcBorders>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编制饮用水水源地保护区划分技术报告</w:t>
            </w: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饮用水水源地保护区划分技术报告并完成专家内审，制作相对于的图件，核实各保护区的面积、经纬度等。</w:t>
            </w:r>
          </w:p>
        </w:tc>
        <w:tc>
          <w:tcPr>
            <w:tcW w:w="7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val="0"/>
                <w:kern w:val="2"/>
                <w:sz w:val="21"/>
                <w:szCs w:val="21"/>
                <w:highlight w:val="none"/>
                <w:lang w:val="en-US" w:eastAsia="zh-CN" w:bidi="ar-SA"/>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5"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23</w:t>
            </w: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饮用水水源地保护区划分技术报告征求意见</w:t>
            </w:r>
          </w:p>
        </w:tc>
        <w:tc>
          <w:tcPr>
            <w:tcW w:w="1579" w:type="dxa"/>
            <w:tcBorders>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饮用水水源地保护区划分技术报告征求当地行政部门和社会公众意见</w:t>
            </w: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将</w:t>
            </w:r>
            <w:bookmarkStart w:id="3" w:name="OLE_LINK4"/>
            <w:r>
              <w:rPr>
                <w:rFonts w:hint="default" w:ascii="仿宋" w:hAnsi="仿宋" w:eastAsia="仿宋" w:cs="仿宋"/>
                <w:b w:val="0"/>
                <w:bCs w:val="0"/>
                <w:kern w:val="2"/>
                <w:sz w:val="21"/>
                <w:szCs w:val="21"/>
                <w:highlight w:val="none"/>
                <w:lang w:val="en-US" w:eastAsia="zh-CN" w:bidi="ar-SA"/>
              </w:rPr>
              <w:t>饮用水水源地保护区划分技术报告</w:t>
            </w:r>
            <w:bookmarkEnd w:id="3"/>
            <w:r>
              <w:rPr>
                <w:rFonts w:hint="default" w:ascii="仿宋" w:hAnsi="仿宋" w:eastAsia="仿宋" w:cs="仿宋"/>
                <w:b w:val="0"/>
                <w:bCs w:val="0"/>
                <w:kern w:val="2"/>
                <w:sz w:val="21"/>
                <w:szCs w:val="21"/>
                <w:highlight w:val="none"/>
                <w:lang w:val="en-US" w:eastAsia="zh-CN" w:bidi="ar-SA"/>
              </w:rPr>
              <w:t>征求社会和当地行政部门意见，并按照征求意见对饮用水水源地保护区划分技术报告进行修改与回应。</w:t>
            </w:r>
          </w:p>
        </w:tc>
        <w:tc>
          <w:tcPr>
            <w:tcW w:w="7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val="0"/>
                <w:kern w:val="2"/>
                <w:sz w:val="21"/>
                <w:szCs w:val="21"/>
                <w:highlight w:val="none"/>
                <w:lang w:val="en-US" w:eastAsia="zh-CN" w:bidi="ar-SA"/>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9"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24</w:t>
            </w: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饮用水水源地保护区划分技术报告专家论证</w:t>
            </w:r>
          </w:p>
        </w:tc>
        <w:tc>
          <w:tcPr>
            <w:tcW w:w="1579" w:type="dxa"/>
            <w:tcBorders>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饮用水水源地保护区划分技术报告开展专家论证</w:t>
            </w: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饮用水水源地保护区划分技术报告，并按照专家意见进行修改和复核。</w:t>
            </w:r>
          </w:p>
        </w:tc>
        <w:tc>
          <w:tcPr>
            <w:tcW w:w="7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val="0"/>
                <w:kern w:val="2"/>
                <w:sz w:val="21"/>
                <w:szCs w:val="21"/>
                <w:highlight w:val="none"/>
                <w:lang w:val="en-US" w:eastAsia="zh-CN" w:bidi="ar-SA"/>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5"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25</w:t>
            </w: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lang w:val="en-US" w:eastAsia="zh-CN"/>
              </w:rPr>
            </w:pPr>
            <w:bookmarkStart w:id="4" w:name="OLE_LINK9"/>
            <w:bookmarkStart w:id="5" w:name="OLE_LINK5"/>
            <w:r>
              <w:rPr>
                <w:rFonts w:hint="eastAsia" w:ascii="仿宋" w:hAnsi="仿宋" w:eastAsia="仿宋" w:cs="仿宋"/>
                <w:sz w:val="21"/>
                <w:szCs w:val="21"/>
                <w:highlight w:val="none"/>
                <w:lang w:val="en-US" w:eastAsia="zh-CN"/>
              </w:rPr>
              <w:t>饮用水水源地保护区划分技术报告</w:t>
            </w:r>
            <w:bookmarkEnd w:id="4"/>
            <w:r>
              <w:rPr>
                <w:rFonts w:hint="eastAsia" w:ascii="仿宋" w:hAnsi="仿宋" w:eastAsia="仿宋" w:cs="仿宋"/>
                <w:sz w:val="21"/>
                <w:szCs w:val="21"/>
                <w:highlight w:val="none"/>
                <w:lang w:val="en-US" w:eastAsia="zh-CN"/>
              </w:rPr>
              <w:t>听证</w:t>
            </w:r>
            <w:bookmarkEnd w:id="5"/>
          </w:p>
        </w:tc>
        <w:tc>
          <w:tcPr>
            <w:tcW w:w="1579" w:type="dxa"/>
            <w:tcBorders>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bookmarkStart w:id="6" w:name="OLE_LINK6"/>
            <w:r>
              <w:rPr>
                <w:rFonts w:hint="default" w:ascii="仿宋" w:hAnsi="仿宋" w:eastAsia="仿宋" w:cs="仿宋"/>
                <w:b w:val="0"/>
                <w:bCs w:val="0"/>
                <w:kern w:val="2"/>
                <w:sz w:val="21"/>
                <w:szCs w:val="21"/>
                <w:highlight w:val="none"/>
                <w:lang w:val="en-US" w:eastAsia="zh-CN" w:bidi="ar-SA"/>
              </w:rPr>
              <w:t>饮用水水源地保护区划分技术报告听证</w:t>
            </w:r>
            <w:bookmarkEnd w:id="6"/>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完</w:t>
            </w:r>
            <w:bookmarkStart w:id="7" w:name="OLE_LINK8"/>
            <w:r>
              <w:rPr>
                <w:rFonts w:hint="default" w:ascii="仿宋" w:hAnsi="仿宋" w:eastAsia="仿宋" w:cs="仿宋"/>
                <w:b w:val="0"/>
                <w:bCs w:val="0"/>
                <w:kern w:val="2"/>
                <w:sz w:val="21"/>
                <w:szCs w:val="21"/>
                <w:highlight w:val="none"/>
                <w:lang w:val="en-US" w:eastAsia="zh-CN" w:bidi="ar-SA"/>
              </w:rPr>
              <w:t>成</w:t>
            </w:r>
            <w:bookmarkStart w:id="8" w:name="OLE_LINK7"/>
            <w:r>
              <w:rPr>
                <w:rFonts w:hint="default" w:ascii="仿宋" w:hAnsi="仿宋" w:eastAsia="仿宋" w:cs="仿宋"/>
                <w:b w:val="0"/>
                <w:bCs w:val="0"/>
                <w:kern w:val="2"/>
                <w:sz w:val="21"/>
                <w:szCs w:val="21"/>
                <w:highlight w:val="none"/>
                <w:lang w:val="en-US" w:eastAsia="zh-CN" w:bidi="ar-SA"/>
              </w:rPr>
              <w:t>饮用水水源地保护区划分技术报告</w:t>
            </w:r>
            <w:bookmarkEnd w:id="8"/>
            <w:r>
              <w:rPr>
                <w:rFonts w:hint="default" w:ascii="仿宋" w:hAnsi="仿宋" w:eastAsia="仿宋" w:cs="仿宋"/>
                <w:b w:val="0"/>
                <w:bCs w:val="0"/>
                <w:kern w:val="2"/>
                <w:sz w:val="21"/>
                <w:szCs w:val="21"/>
                <w:highlight w:val="none"/>
                <w:lang w:val="en-US" w:eastAsia="zh-CN" w:bidi="ar-SA"/>
              </w:rPr>
              <w:t>听证</w:t>
            </w:r>
            <w:bookmarkEnd w:id="7"/>
            <w:r>
              <w:rPr>
                <w:rFonts w:hint="default" w:ascii="仿宋" w:hAnsi="仿宋" w:eastAsia="仿宋" w:cs="仿宋"/>
                <w:b w:val="0"/>
                <w:bCs w:val="0"/>
                <w:kern w:val="2"/>
                <w:sz w:val="21"/>
                <w:szCs w:val="21"/>
                <w:highlight w:val="none"/>
                <w:lang w:val="en-US" w:eastAsia="zh-CN" w:bidi="ar-SA"/>
              </w:rPr>
              <w:t>（人大代表、政协、市民及专家学者等）形成听证报告，完善饮用水水源地保护区划分技术报告。</w:t>
            </w:r>
          </w:p>
        </w:tc>
        <w:tc>
          <w:tcPr>
            <w:tcW w:w="7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val="0"/>
                <w:kern w:val="2"/>
                <w:sz w:val="21"/>
                <w:szCs w:val="21"/>
                <w:highlight w:val="none"/>
                <w:lang w:val="en-US" w:eastAsia="zh-CN" w:bidi="ar-SA"/>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5" w:hRule="exac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26</w:t>
            </w:r>
          </w:p>
        </w:tc>
        <w:tc>
          <w:tcPr>
            <w:tcW w:w="15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lang w:val="en-US" w:eastAsia="zh-CN"/>
              </w:rPr>
            </w:pPr>
            <w:bookmarkStart w:id="9" w:name="OLE_LINK10"/>
            <w:r>
              <w:rPr>
                <w:rFonts w:hint="eastAsia" w:ascii="仿宋" w:hAnsi="仿宋" w:eastAsia="仿宋" w:cs="仿宋"/>
                <w:sz w:val="21"/>
                <w:szCs w:val="21"/>
                <w:highlight w:val="none"/>
                <w:lang w:val="en-US" w:eastAsia="zh-CN"/>
              </w:rPr>
              <w:t>饮用水水源地保护区划分技术报告报批</w:t>
            </w:r>
            <w:bookmarkEnd w:id="9"/>
          </w:p>
        </w:tc>
        <w:tc>
          <w:tcPr>
            <w:tcW w:w="1579" w:type="dxa"/>
            <w:tcBorders>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饮用水水源地保护区划分技术报告报批</w:t>
            </w:r>
          </w:p>
        </w:tc>
        <w:tc>
          <w:tcPr>
            <w:tcW w:w="3034"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 w:hAnsi="仿宋" w:eastAsia="仿宋" w:cs="仿宋"/>
                <w:b w:val="0"/>
                <w:bCs w:val="0"/>
                <w:kern w:val="2"/>
                <w:sz w:val="21"/>
                <w:szCs w:val="21"/>
                <w:highlight w:val="none"/>
                <w:lang w:val="en-US" w:eastAsia="zh-CN" w:bidi="ar-SA"/>
              </w:rPr>
            </w:pPr>
            <w:r>
              <w:rPr>
                <w:rFonts w:hint="default" w:ascii="仿宋" w:hAnsi="仿宋" w:eastAsia="仿宋" w:cs="仿宋"/>
                <w:b w:val="0"/>
                <w:bCs w:val="0"/>
                <w:kern w:val="2"/>
                <w:sz w:val="21"/>
                <w:szCs w:val="21"/>
                <w:highlight w:val="none"/>
                <w:lang w:val="en-US" w:eastAsia="zh-CN" w:bidi="ar-SA"/>
              </w:rPr>
              <w:t>将饮用水水源地保护区划分技术报告和形成的方案报当地政府审批，并向社会公开。</w:t>
            </w:r>
          </w:p>
        </w:tc>
        <w:tc>
          <w:tcPr>
            <w:tcW w:w="754"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b w:val="0"/>
                <w:bCs w:val="0"/>
                <w:kern w:val="2"/>
                <w:sz w:val="21"/>
                <w:szCs w:val="21"/>
                <w:highlight w:val="none"/>
                <w:lang w:val="en-US" w:eastAsia="zh-CN" w:bidi="ar-SA"/>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0340" w:type="dxa"/>
            <w:gridSpan w:val="7"/>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报价合计（包含税费等所有费用）：（大写）人民币</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0340" w:type="dxa"/>
            <w:gridSpan w:val="7"/>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合同履行期限：</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w:t>
            </w:r>
          </w:p>
        </w:tc>
      </w:tr>
    </w:tbl>
    <w:p>
      <w:pPr>
        <w:snapToGrid w:val="0"/>
        <w:spacing w:before="50" w:after="50"/>
        <w:ind w:firstLine="480" w:firstLineChars="200"/>
        <w:jc w:val="left"/>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注：本次报价</w:t>
      </w:r>
      <w:r>
        <w:rPr>
          <w:rFonts w:hint="eastAsia" w:ascii="仿宋" w:hAnsi="仿宋" w:eastAsia="仿宋"/>
          <w:sz w:val="24"/>
          <w:szCs w:val="24"/>
          <w:highlight w:val="none"/>
        </w:rPr>
        <w:t>按照人工成本计算</w:t>
      </w:r>
      <w:r>
        <w:rPr>
          <w:rFonts w:hint="eastAsia" w:ascii="仿宋" w:hAnsi="仿宋" w:eastAsia="仿宋"/>
          <w:sz w:val="24"/>
          <w:szCs w:val="24"/>
          <w:highlight w:val="none"/>
          <w:lang w:eastAsia="zh-CN"/>
        </w:rPr>
        <w:t>。</w:t>
      </w:r>
    </w:p>
    <w:p>
      <w:pPr>
        <w:snapToGrid w:val="0"/>
        <w:spacing w:before="50" w:after="50"/>
        <w:ind w:firstLine="480" w:firstLineChars="200"/>
        <w:jc w:val="left"/>
        <w:rPr>
          <w:rFonts w:hint="eastAsia" w:ascii="仿宋" w:hAnsi="仿宋" w:eastAsia="仿宋"/>
          <w:sz w:val="24"/>
          <w:szCs w:val="24"/>
          <w:highlight w:val="none"/>
        </w:rPr>
      </w:pPr>
      <w:r>
        <w:rPr>
          <w:rFonts w:hint="eastAsia" w:ascii="仿宋" w:hAnsi="仿宋" w:eastAsia="仿宋"/>
          <w:sz w:val="24"/>
          <w:szCs w:val="24"/>
          <w:highlight w:val="none"/>
        </w:rPr>
        <w:t>1.</w:t>
      </w:r>
      <w:r>
        <w:rPr>
          <w:rFonts w:hint="eastAsia" w:ascii="仿宋" w:hAnsi="仿宋" w:eastAsia="仿宋"/>
          <w:sz w:val="24"/>
          <w:szCs w:val="24"/>
          <w:highlight w:val="none"/>
          <w:lang w:eastAsia="zh-CN"/>
        </w:rPr>
        <w:t>报价</w:t>
      </w:r>
      <w:r>
        <w:rPr>
          <w:rFonts w:hint="eastAsia" w:ascii="仿宋" w:hAnsi="仿宋" w:eastAsia="仿宋"/>
          <w:sz w:val="24"/>
          <w:szCs w:val="24"/>
          <w:highlight w:val="none"/>
        </w:rPr>
        <w:t>供应商的报价表必须加盖单位公章并签字，</w:t>
      </w:r>
      <w:r>
        <w:rPr>
          <w:rFonts w:hint="eastAsia" w:ascii="仿宋" w:hAnsi="仿宋" w:eastAsia="仿宋"/>
          <w:b/>
          <w:bCs/>
          <w:sz w:val="24"/>
          <w:szCs w:val="24"/>
          <w:highlight w:val="none"/>
        </w:rPr>
        <w:t>否则其</w:t>
      </w:r>
      <w:r>
        <w:rPr>
          <w:rFonts w:hint="eastAsia" w:ascii="仿宋" w:hAnsi="仿宋" w:eastAsia="仿宋"/>
          <w:b/>
          <w:bCs/>
          <w:sz w:val="24"/>
          <w:szCs w:val="24"/>
          <w:highlight w:val="none"/>
          <w:lang w:eastAsia="zh-CN"/>
        </w:rPr>
        <w:t>报价</w:t>
      </w:r>
      <w:r>
        <w:rPr>
          <w:rFonts w:hint="eastAsia" w:ascii="仿宋" w:hAnsi="仿宋" w:eastAsia="仿宋"/>
          <w:b/>
          <w:bCs/>
          <w:sz w:val="24"/>
          <w:szCs w:val="24"/>
          <w:highlight w:val="none"/>
        </w:rPr>
        <w:t>作无效</w:t>
      </w:r>
      <w:r>
        <w:rPr>
          <w:rFonts w:hint="eastAsia" w:ascii="仿宋" w:hAnsi="仿宋" w:eastAsia="仿宋"/>
          <w:b/>
          <w:bCs/>
          <w:sz w:val="24"/>
          <w:szCs w:val="24"/>
          <w:highlight w:val="none"/>
          <w:lang w:val="en-US" w:eastAsia="zh-CN"/>
        </w:rPr>
        <w:t>报价</w:t>
      </w:r>
      <w:r>
        <w:rPr>
          <w:rFonts w:hint="eastAsia" w:ascii="仿宋" w:hAnsi="仿宋" w:eastAsia="仿宋"/>
          <w:b/>
          <w:bCs/>
          <w:sz w:val="24"/>
          <w:szCs w:val="24"/>
          <w:highlight w:val="none"/>
        </w:rPr>
        <w:t>处理</w:t>
      </w:r>
      <w:r>
        <w:rPr>
          <w:rFonts w:hint="eastAsia" w:ascii="仿宋" w:hAnsi="仿宋" w:eastAsia="仿宋"/>
          <w:sz w:val="24"/>
          <w:szCs w:val="24"/>
          <w:highlight w:val="none"/>
        </w:rPr>
        <w:t>。</w:t>
      </w:r>
    </w:p>
    <w:p>
      <w:pPr>
        <w:snapToGrid w:val="0"/>
        <w:spacing w:before="50" w:after="50"/>
        <w:ind w:firstLine="480" w:firstLineChars="200"/>
        <w:jc w:val="left"/>
        <w:rPr>
          <w:rFonts w:hint="eastAsia" w:ascii="仿宋" w:hAnsi="仿宋" w:eastAsia="仿宋"/>
          <w:sz w:val="24"/>
          <w:szCs w:val="24"/>
          <w:highlight w:val="none"/>
        </w:rPr>
      </w:pPr>
      <w:r>
        <w:rPr>
          <w:rFonts w:hint="eastAsia" w:ascii="仿宋" w:hAnsi="仿宋" w:eastAsia="仿宋"/>
          <w:sz w:val="24"/>
          <w:szCs w:val="24"/>
          <w:highlight w:val="none"/>
        </w:rPr>
        <w:t>2.报价一经涂改，应在涂改处加盖单位公章或者由法定代表人（或负责人）或授权委托人签字或盖章，</w:t>
      </w:r>
      <w:r>
        <w:rPr>
          <w:rFonts w:hint="eastAsia" w:ascii="仿宋" w:hAnsi="仿宋" w:eastAsia="仿宋"/>
          <w:b/>
          <w:bCs/>
          <w:sz w:val="24"/>
          <w:szCs w:val="24"/>
          <w:highlight w:val="none"/>
        </w:rPr>
        <w:t>否则其</w:t>
      </w:r>
      <w:r>
        <w:rPr>
          <w:rFonts w:hint="eastAsia" w:ascii="仿宋" w:hAnsi="仿宋" w:eastAsia="仿宋"/>
          <w:b/>
          <w:bCs/>
          <w:sz w:val="24"/>
          <w:szCs w:val="24"/>
          <w:highlight w:val="none"/>
          <w:lang w:val="en-US" w:eastAsia="zh-CN"/>
        </w:rPr>
        <w:t>报价</w:t>
      </w:r>
      <w:r>
        <w:rPr>
          <w:rFonts w:hint="eastAsia" w:ascii="仿宋" w:hAnsi="仿宋" w:eastAsia="仿宋"/>
          <w:b/>
          <w:bCs/>
          <w:sz w:val="24"/>
          <w:szCs w:val="24"/>
          <w:highlight w:val="none"/>
        </w:rPr>
        <w:t>作无效</w:t>
      </w:r>
      <w:r>
        <w:rPr>
          <w:rFonts w:hint="eastAsia" w:ascii="仿宋" w:hAnsi="仿宋" w:eastAsia="仿宋"/>
          <w:b/>
          <w:bCs/>
          <w:sz w:val="24"/>
          <w:szCs w:val="24"/>
          <w:highlight w:val="none"/>
          <w:lang w:val="en-US" w:eastAsia="zh-CN"/>
        </w:rPr>
        <w:t>报价</w:t>
      </w:r>
      <w:r>
        <w:rPr>
          <w:rFonts w:hint="eastAsia" w:ascii="仿宋" w:hAnsi="仿宋" w:eastAsia="仿宋"/>
          <w:b/>
          <w:bCs/>
          <w:sz w:val="24"/>
          <w:szCs w:val="24"/>
          <w:highlight w:val="none"/>
        </w:rPr>
        <w:t>处理。</w:t>
      </w:r>
    </w:p>
    <w:p>
      <w:pPr>
        <w:snapToGrid w:val="0"/>
        <w:spacing w:before="50" w:after="50"/>
        <w:ind w:firstLine="480" w:firstLineChars="200"/>
        <w:jc w:val="left"/>
        <w:rPr>
          <w:rFonts w:hint="eastAsia" w:ascii="仿宋" w:hAnsi="仿宋" w:eastAsia="仿宋"/>
          <w:sz w:val="24"/>
          <w:szCs w:val="24"/>
          <w:highlight w:val="none"/>
        </w:rPr>
      </w:pPr>
      <w:r>
        <w:rPr>
          <w:rFonts w:hint="eastAsia" w:ascii="仿宋" w:hAnsi="仿宋" w:eastAsia="仿宋"/>
          <w:sz w:val="24"/>
          <w:szCs w:val="24"/>
          <w:highlight w:val="none"/>
        </w:rPr>
        <w:t>3.</w:t>
      </w:r>
      <w:r>
        <w:rPr>
          <w:rFonts w:hint="eastAsia" w:ascii="仿宋" w:hAnsi="仿宋" w:eastAsia="仿宋"/>
          <w:bCs/>
          <w:sz w:val="24"/>
          <w:szCs w:val="24"/>
          <w:highlight w:val="none"/>
        </w:rPr>
        <w:t>本次报价须为人民币报价，报价应包含了（但并不限于）本项目服务所需的所有费用和所需缴纳的保险、税、费等一切费用。</w:t>
      </w:r>
      <w:r>
        <w:rPr>
          <w:rFonts w:hint="eastAsia" w:ascii="仿宋" w:hAnsi="仿宋" w:eastAsia="仿宋" w:cs="仿宋"/>
          <w:sz w:val="24"/>
          <w:szCs w:val="24"/>
          <w:highlight w:val="none"/>
        </w:rPr>
        <w:t>对于本文件中未列明，而</w:t>
      </w:r>
      <w:r>
        <w:rPr>
          <w:rFonts w:hint="eastAsia" w:ascii="仿宋" w:hAnsi="仿宋" w:eastAsia="仿宋"/>
          <w:sz w:val="24"/>
          <w:szCs w:val="24"/>
          <w:highlight w:val="none"/>
          <w:lang w:eastAsia="zh-CN"/>
        </w:rPr>
        <w:t>报价</w:t>
      </w:r>
      <w:r>
        <w:rPr>
          <w:rFonts w:hint="eastAsia" w:ascii="仿宋" w:hAnsi="仿宋" w:eastAsia="仿宋" w:cs="仿宋"/>
          <w:sz w:val="24"/>
          <w:szCs w:val="24"/>
          <w:highlight w:val="none"/>
        </w:rPr>
        <w:t>供应商认为必需的费用也需列入总报价。在合同实施时，采购人将不予支付成交供应商没有列入的项目费用，并认为此项目的费用已包括在总报价中。</w:t>
      </w:r>
      <w:r>
        <w:rPr>
          <w:rFonts w:hint="eastAsia" w:ascii="仿宋" w:hAnsi="仿宋" w:eastAsia="仿宋"/>
          <w:sz w:val="24"/>
          <w:szCs w:val="24"/>
          <w:highlight w:val="none"/>
        </w:rPr>
        <w:t>装卸、保险、税金、货到就位以及安装、调试、培训、保修、验收费用等一切税金和费用。</w:t>
      </w:r>
    </w:p>
    <w:p>
      <w:pPr>
        <w:snapToGrid w:val="0"/>
        <w:spacing w:before="50" w:after="50"/>
        <w:ind w:firstLine="480" w:firstLineChars="200"/>
        <w:jc w:val="left"/>
        <w:rPr>
          <w:rFonts w:hint="default" w:eastAsia="仿宋"/>
          <w:lang w:val="en-US" w:eastAsia="zh-CN"/>
        </w:rPr>
      </w:pPr>
      <w:r>
        <w:rPr>
          <w:rFonts w:hint="eastAsia" w:ascii="仿宋" w:hAnsi="仿宋" w:eastAsia="仿宋"/>
          <w:sz w:val="24"/>
          <w:szCs w:val="24"/>
          <w:highlight w:val="none"/>
        </w:rPr>
        <w:t>4.所有价格均用人民币表示，单位为元，精确到小数点后两位数。</w:t>
      </w:r>
    </w:p>
    <w:p>
      <w:pPr>
        <w:spacing w:line="440" w:lineRule="exact"/>
        <w:rPr>
          <w:rFonts w:hint="eastAsia" w:ascii="仿宋" w:hAnsi="仿宋" w:eastAsia="仿宋"/>
          <w:sz w:val="24"/>
          <w:szCs w:val="24"/>
          <w:highlight w:val="none"/>
        </w:rPr>
      </w:pPr>
      <w:r>
        <w:rPr>
          <w:rFonts w:hint="eastAsia" w:ascii="仿宋" w:hAnsi="仿宋" w:eastAsia="仿宋"/>
          <w:sz w:val="24"/>
          <w:szCs w:val="24"/>
          <w:highlight w:val="none"/>
          <w:lang w:eastAsia="zh-CN"/>
        </w:rPr>
        <w:t>报价</w:t>
      </w:r>
      <w:r>
        <w:rPr>
          <w:rFonts w:hint="eastAsia" w:ascii="仿宋" w:hAnsi="仿宋" w:eastAsia="仿宋"/>
          <w:sz w:val="24"/>
          <w:szCs w:val="24"/>
          <w:highlight w:val="none"/>
        </w:rPr>
        <w:t>供应商：</w:t>
      </w:r>
      <w:r>
        <w:rPr>
          <w:rFonts w:hint="eastAsia" w:ascii="仿宋" w:hAnsi="仿宋" w:eastAsia="仿宋"/>
          <w:sz w:val="24"/>
          <w:szCs w:val="24"/>
          <w:highlight w:val="none"/>
          <w:u w:val="single"/>
        </w:rPr>
        <w:t xml:space="preserve">              </w:t>
      </w:r>
      <w:r>
        <w:rPr>
          <w:rFonts w:hint="eastAsia" w:ascii="仿宋" w:hAnsi="仿宋" w:eastAsia="仿宋"/>
          <w:sz w:val="24"/>
          <w:szCs w:val="24"/>
          <w:highlight w:val="none"/>
        </w:rPr>
        <w:t>（盖单位公章）</w:t>
      </w:r>
    </w:p>
    <w:p>
      <w:pPr>
        <w:spacing w:line="440" w:lineRule="exact"/>
        <w:rPr>
          <w:rFonts w:hint="eastAsia" w:ascii="仿宋" w:hAnsi="仿宋" w:eastAsia="仿宋"/>
          <w:sz w:val="24"/>
          <w:szCs w:val="24"/>
          <w:highlight w:val="none"/>
        </w:rPr>
      </w:pPr>
      <w:r>
        <w:rPr>
          <w:rFonts w:hint="eastAsia" w:ascii="仿宋" w:hAnsi="仿宋" w:eastAsia="仿宋"/>
          <w:sz w:val="24"/>
          <w:szCs w:val="24"/>
          <w:highlight w:val="none"/>
        </w:rPr>
        <w:t>法定代表人(或负责人）或授权委托代理人：</w:t>
      </w:r>
      <w:r>
        <w:rPr>
          <w:rFonts w:hint="eastAsia" w:ascii="仿宋" w:hAnsi="仿宋" w:eastAsia="仿宋"/>
          <w:sz w:val="24"/>
          <w:szCs w:val="24"/>
          <w:highlight w:val="none"/>
          <w:u w:val="single"/>
        </w:rPr>
        <w:t xml:space="preserve">          </w:t>
      </w:r>
      <w:r>
        <w:rPr>
          <w:rFonts w:hint="eastAsia" w:ascii="仿宋" w:hAnsi="仿宋" w:eastAsia="仿宋"/>
          <w:sz w:val="24"/>
          <w:szCs w:val="24"/>
          <w:highlight w:val="none"/>
        </w:rPr>
        <w:t>（签字）</w:t>
      </w:r>
    </w:p>
    <w:p>
      <w:pPr>
        <w:spacing w:line="440" w:lineRule="exact"/>
        <w:rPr>
          <w:rFonts w:hint="eastAsia" w:ascii="仿宋" w:hAnsi="仿宋" w:eastAsia="仿宋"/>
          <w:sz w:val="24"/>
          <w:szCs w:val="24"/>
          <w:highlight w:val="none"/>
        </w:rPr>
      </w:pPr>
      <w:r>
        <w:rPr>
          <w:rFonts w:hint="eastAsia" w:ascii="仿宋" w:hAnsi="仿宋" w:eastAsia="仿宋"/>
          <w:sz w:val="24"/>
          <w:szCs w:val="24"/>
          <w:highlight w:val="none"/>
        </w:rPr>
        <w:t>地    址：</w:t>
      </w:r>
      <w:r>
        <w:rPr>
          <w:rFonts w:hint="eastAsia" w:ascii="仿宋" w:hAnsi="仿宋" w:eastAsia="仿宋"/>
          <w:sz w:val="24"/>
          <w:szCs w:val="24"/>
          <w:highlight w:val="none"/>
          <w:u w:val="single"/>
        </w:rPr>
        <w:t xml:space="preserve">                              </w:t>
      </w:r>
    </w:p>
    <w:p>
      <w:pPr>
        <w:spacing w:line="440" w:lineRule="exact"/>
        <w:rPr>
          <w:rFonts w:hint="eastAsia" w:ascii="仿宋" w:hAnsi="仿宋" w:eastAsia="仿宋"/>
          <w:sz w:val="24"/>
          <w:szCs w:val="24"/>
          <w:highlight w:val="none"/>
        </w:rPr>
      </w:pPr>
      <w:r>
        <w:rPr>
          <w:rFonts w:hint="eastAsia" w:ascii="仿宋" w:hAnsi="仿宋" w:eastAsia="仿宋"/>
          <w:sz w:val="24"/>
          <w:szCs w:val="24"/>
          <w:highlight w:val="none"/>
        </w:rPr>
        <w:t>电    话：</w:t>
      </w:r>
      <w:r>
        <w:rPr>
          <w:rFonts w:hint="eastAsia" w:ascii="仿宋" w:hAnsi="仿宋" w:eastAsia="仿宋"/>
          <w:sz w:val="24"/>
          <w:szCs w:val="24"/>
          <w:highlight w:val="none"/>
          <w:u w:val="single"/>
        </w:rPr>
        <w:t xml:space="preserve">                              </w:t>
      </w:r>
    </w:p>
    <w:p>
      <w:pPr>
        <w:spacing w:line="440" w:lineRule="exact"/>
        <w:rPr>
          <w:rFonts w:hint="eastAsia" w:ascii="仿宋" w:hAnsi="仿宋" w:eastAsia="仿宋"/>
          <w:sz w:val="24"/>
          <w:szCs w:val="24"/>
          <w:highlight w:val="none"/>
        </w:rPr>
      </w:pPr>
      <w:r>
        <w:rPr>
          <w:rFonts w:hint="eastAsia" w:ascii="仿宋" w:hAnsi="仿宋" w:eastAsia="仿宋"/>
          <w:sz w:val="24"/>
          <w:szCs w:val="24"/>
          <w:highlight w:val="none"/>
        </w:rPr>
        <w:t>传    真：</w:t>
      </w:r>
      <w:r>
        <w:rPr>
          <w:rFonts w:hint="eastAsia" w:ascii="仿宋" w:hAnsi="仿宋" w:eastAsia="仿宋"/>
          <w:sz w:val="24"/>
          <w:szCs w:val="24"/>
          <w:highlight w:val="none"/>
          <w:u w:val="single"/>
        </w:rPr>
        <w:t xml:space="preserve">                               </w:t>
      </w:r>
    </w:p>
    <w:p>
      <w:pPr>
        <w:spacing w:line="440" w:lineRule="exact"/>
        <w:rPr>
          <w:rFonts w:hint="eastAsia" w:ascii="仿宋" w:hAnsi="仿宋" w:eastAsia="仿宋"/>
          <w:sz w:val="24"/>
          <w:szCs w:val="24"/>
          <w:highlight w:val="none"/>
        </w:rPr>
      </w:pPr>
      <w:r>
        <w:rPr>
          <w:rFonts w:hint="eastAsia" w:ascii="仿宋" w:hAnsi="仿宋" w:eastAsia="仿宋"/>
          <w:sz w:val="24"/>
          <w:szCs w:val="24"/>
          <w:highlight w:val="none"/>
        </w:rPr>
        <w:t>邮政编码：</w:t>
      </w:r>
      <w:r>
        <w:rPr>
          <w:rFonts w:hint="eastAsia" w:ascii="仿宋" w:hAnsi="仿宋" w:eastAsia="仿宋"/>
          <w:sz w:val="24"/>
          <w:szCs w:val="24"/>
          <w:highlight w:val="none"/>
          <w:u w:val="single"/>
        </w:rPr>
        <w:t xml:space="preserve">                           </w:t>
      </w:r>
    </w:p>
    <w:p>
      <w:pPr>
        <w:spacing w:line="440" w:lineRule="exact"/>
        <w:rPr>
          <w:rFonts w:hint="eastAsia" w:ascii="仿宋" w:hAnsi="仿宋" w:eastAsia="仿宋"/>
          <w:sz w:val="24"/>
          <w:szCs w:val="24"/>
          <w:highlight w:val="none"/>
        </w:rPr>
      </w:pPr>
      <w:r>
        <w:rPr>
          <w:rFonts w:hint="eastAsia" w:ascii="仿宋" w:hAnsi="仿宋" w:eastAsia="仿宋"/>
          <w:sz w:val="24"/>
          <w:szCs w:val="24"/>
          <w:highlight w:val="none"/>
          <w:u w:val="single"/>
        </w:rPr>
        <w:t xml:space="preserve">         </w:t>
      </w:r>
      <w:r>
        <w:rPr>
          <w:rFonts w:hint="eastAsia" w:ascii="仿宋" w:hAnsi="仿宋" w:eastAsia="仿宋"/>
          <w:sz w:val="24"/>
          <w:szCs w:val="24"/>
          <w:highlight w:val="none"/>
        </w:rPr>
        <w:t>年</w:t>
      </w:r>
      <w:r>
        <w:rPr>
          <w:rFonts w:hint="eastAsia" w:ascii="仿宋" w:hAnsi="仿宋" w:eastAsia="仿宋"/>
          <w:sz w:val="24"/>
          <w:szCs w:val="24"/>
          <w:highlight w:val="none"/>
          <w:u w:val="single"/>
        </w:rPr>
        <w:t xml:space="preserve">      </w:t>
      </w:r>
      <w:r>
        <w:rPr>
          <w:rFonts w:hint="eastAsia" w:ascii="仿宋" w:hAnsi="仿宋" w:eastAsia="仿宋"/>
          <w:sz w:val="24"/>
          <w:szCs w:val="24"/>
          <w:highlight w:val="none"/>
        </w:rPr>
        <w:t>月</w:t>
      </w:r>
      <w:r>
        <w:rPr>
          <w:rFonts w:hint="eastAsia" w:ascii="仿宋" w:hAnsi="仿宋" w:eastAsia="仿宋"/>
          <w:sz w:val="24"/>
          <w:szCs w:val="24"/>
          <w:highlight w:val="none"/>
          <w:u w:val="single"/>
        </w:rPr>
        <w:t xml:space="preserve">     </w:t>
      </w:r>
      <w:r>
        <w:rPr>
          <w:rFonts w:hint="eastAsia" w:ascii="仿宋" w:hAnsi="仿宋" w:eastAsia="仿宋"/>
          <w:sz w:val="24"/>
          <w:szCs w:val="24"/>
          <w:highlight w:val="none"/>
        </w:rPr>
        <w:t>日</w:t>
      </w:r>
    </w:p>
    <w:p>
      <w:pPr>
        <w:spacing w:line="440" w:lineRule="exact"/>
        <w:rPr>
          <w:rFonts w:hint="eastAsia" w:ascii="仿宋" w:hAnsi="仿宋" w:eastAsia="仿宋"/>
          <w:sz w:val="24"/>
          <w:szCs w:val="24"/>
          <w:highlight w:val="none"/>
        </w:rPr>
      </w:pPr>
    </w:p>
    <w:p>
      <w:pPr>
        <w:spacing w:line="440" w:lineRule="exact"/>
        <w:rPr>
          <w:rFonts w:hint="eastAsia" w:ascii="仿宋" w:hAnsi="仿宋" w:eastAsia="仿宋"/>
          <w:sz w:val="24"/>
          <w:szCs w:val="24"/>
          <w:highlight w:val="none"/>
        </w:rPr>
      </w:pPr>
    </w:p>
    <w:p>
      <w:pPr>
        <w:spacing w:line="440" w:lineRule="exact"/>
        <w:rPr>
          <w:rFonts w:hint="eastAsia" w:ascii="仿宋" w:hAnsi="仿宋" w:eastAsia="仿宋"/>
          <w:sz w:val="24"/>
          <w:szCs w:val="24"/>
          <w:highlight w:val="none"/>
        </w:rPr>
      </w:pPr>
    </w:p>
    <w:p>
      <w:pPr>
        <w:wordWrap w:val="0"/>
        <w:adjustRightInd w:val="0"/>
        <w:spacing w:line="400" w:lineRule="exact"/>
        <w:jc w:val="right"/>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eastAsia="zh-CN"/>
        </w:rPr>
        <w:t>报价</w:t>
      </w:r>
      <w:r>
        <w:rPr>
          <w:rFonts w:hint="eastAsia" w:ascii="仿宋" w:hAnsi="仿宋" w:eastAsia="仿宋" w:cs="仿宋"/>
          <w:sz w:val="24"/>
          <w:szCs w:val="24"/>
          <w:highlight w:val="none"/>
        </w:rPr>
        <w:t>供应商名称（盖章）：</w:t>
      </w:r>
      <w:r>
        <w:rPr>
          <w:rFonts w:hint="eastAsia" w:ascii="仿宋" w:hAnsi="仿宋" w:eastAsia="仿宋" w:cs="仿宋"/>
          <w:sz w:val="24"/>
          <w:szCs w:val="24"/>
          <w:highlight w:val="none"/>
          <w:u w:val="single"/>
          <w:lang w:val="en-US" w:eastAsia="zh-CN"/>
        </w:rPr>
        <w:t xml:space="preserve">               </w:t>
      </w:r>
    </w:p>
    <w:p>
      <w:pPr>
        <w:spacing w:line="400" w:lineRule="exact"/>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0MDBiNDFiZjJkZjhjNmI4ZTdmMWUyZGMwNTlmZDcifQ=="/>
  </w:docVars>
  <w:rsids>
    <w:rsidRoot w:val="7D9F3D1B"/>
    <w:rsid w:val="018462B9"/>
    <w:rsid w:val="0B183830"/>
    <w:rsid w:val="0C25214A"/>
    <w:rsid w:val="0DC32E39"/>
    <w:rsid w:val="21515364"/>
    <w:rsid w:val="223340FF"/>
    <w:rsid w:val="2278331B"/>
    <w:rsid w:val="28CE42AC"/>
    <w:rsid w:val="2D843E66"/>
    <w:rsid w:val="2E0A6FA9"/>
    <w:rsid w:val="3DC44845"/>
    <w:rsid w:val="4F4E17A7"/>
    <w:rsid w:val="57855D92"/>
    <w:rsid w:val="5DFE6F3B"/>
    <w:rsid w:val="64775CE1"/>
    <w:rsid w:val="67E94DF6"/>
    <w:rsid w:val="691F2A4D"/>
    <w:rsid w:val="6C220D8D"/>
    <w:rsid w:val="6F1C5DD3"/>
    <w:rsid w:val="7A2C19A2"/>
    <w:rsid w:val="7D9F3D1B"/>
    <w:rsid w:val="7E500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2"/>
    <w:basedOn w:val="1"/>
    <w:next w:val="1"/>
    <w:qFormat/>
    <w:uiPriority w:val="0"/>
    <w:pPr>
      <w:keepNext/>
      <w:keepLines/>
      <w:outlineLvl w:val="1"/>
    </w:pPr>
    <w:rPr>
      <w:b/>
      <w:bCs/>
      <w:sz w:val="32"/>
      <w:szCs w:val="36"/>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4"/>
    <w:semiHidden/>
    <w:qFormat/>
    <w:uiPriority w:val="0"/>
    <w:pPr>
      <w:jc w:val="center"/>
    </w:pPr>
    <w:rPr>
      <w:b/>
      <w:sz w:val="44"/>
    </w:rPr>
  </w:style>
  <w:style w:type="paragraph" w:styleId="4">
    <w:name w:val="Body Text Indent"/>
    <w:basedOn w:val="1"/>
    <w:semiHidden/>
    <w:qFormat/>
    <w:uiPriority w:val="0"/>
    <w:pPr>
      <w:ind w:firstLine="724" w:firstLineChars="100"/>
    </w:pPr>
    <w:rPr>
      <w:rFonts w:eastAsia="华文楷体"/>
      <w:sz w:val="72"/>
    </w:rPr>
  </w:style>
  <w:style w:type="paragraph" w:styleId="5">
    <w:name w:val="Plain Text"/>
    <w:basedOn w:val="1"/>
    <w:next w:val="1"/>
    <w:autoRedefine/>
    <w:qFormat/>
    <w:uiPriority w:val="0"/>
    <w:rPr>
      <w:rFonts w:ascii="宋体" w:hAnsi="Courier New" w:eastAsia="宋体"/>
      <w:sz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2970</Words>
  <Characters>2999</Characters>
  <Lines>0</Lines>
  <Paragraphs>0</Paragraphs>
  <TotalTime>12</TotalTime>
  <ScaleCrop>false</ScaleCrop>
  <LinksUpToDate>false</LinksUpToDate>
  <CharactersWithSpaces>3373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2023-09-01T01:24:00Z</dcterms:created>
  <dc:creator>wujuntang</dc:creator>
  <cp:lastModifiedBy>豆豆妈</cp:lastModifiedBy>
  <dcterms:modified xsi:type="dcterms:W3CDTF">2024-07-05T03:37:26Z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F748720A0AB64296898C9C14C3205DB0_13</vt:lpwstr>
  </property>
</Properties>
</file>