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2CBD95">
      <w:pPr>
        <w:spacing w:line="360" w:lineRule="auto"/>
        <w:jc w:val="center"/>
        <w:outlineLvl w:val="1"/>
        <w:rPr>
          <w:rFonts w:hint="eastAsia" w:ascii="宋体" w:hAnsi="宋体" w:cs="宋体"/>
          <w:b/>
          <w:bCs/>
          <w:i w:val="0"/>
          <w:iCs w:val="0"/>
          <w:color w:val="auto"/>
          <w:szCs w:val="21"/>
          <w:lang w:val="en-US" w:eastAsia="zh-CN"/>
        </w:rPr>
      </w:pPr>
      <w:bookmarkStart w:id="0" w:name="_GoBack"/>
      <w:r>
        <w:rPr>
          <w:rFonts w:hint="eastAsia" w:ascii="宋体" w:hAnsi="宋体" w:cs="宋体"/>
          <w:b/>
          <w:bCs/>
          <w:i w:val="0"/>
          <w:iCs w:val="0"/>
          <w:color w:val="auto"/>
          <w:sz w:val="44"/>
          <w:szCs w:val="44"/>
          <w:lang w:val="en-US" w:eastAsia="zh-CN"/>
        </w:rPr>
        <w:t>2024年仁化县残疾人家庭无障碍改造采购项目</w:t>
      </w:r>
      <w:r>
        <w:rPr>
          <w:rFonts w:hint="eastAsia" w:ascii="宋体" w:hAnsi="宋体" w:eastAsia="宋体" w:cs="宋体"/>
          <w:b/>
          <w:bCs/>
          <w:i w:val="0"/>
          <w:iCs w:val="0"/>
          <w:color w:val="auto"/>
          <w:sz w:val="44"/>
          <w:szCs w:val="44"/>
          <w:lang w:val="en-US" w:eastAsia="zh-CN"/>
        </w:rPr>
        <w:t>采</w:t>
      </w:r>
      <w:r>
        <w:rPr>
          <w:rFonts w:hint="eastAsia" w:ascii="宋体" w:hAnsi="宋体" w:eastAsia="宋体" w:cs="宋体"/>
          <w:b/>
          <w:bCs/>
          <w:i w:val="0"/>
          <w:iCs w:val="0"/>
          <w:color w:val="auto"/>
          <w:sz w:val="44"/>
          <w:szCs w:val="44"/>
        </w:rPr>
        <w:t>购需求</w:t>
      </w:r>
    </w:p>
    <w:bookmarkEnd w:id="0"/>
    <w:p w14:paraId="7A7527F8">
      <w:pPr>
        <w:spacing w:line="360" w:lineRule="auto"/>
        <w:outlineLvl w:val="1"/>
        <w:rPr>
          <w:rFonts w:hint="eastAsia" w:ascii="宋体" w:hAnsi="宋体" w:eastAsia="宋体" w:cs="宋体"/>
          <w:b/>
          <w:bCs/>
          <w:i w:val="0"/>
          <w:iCs w:val="0"/>
          <w:color w:val="auto"/>
          <w:szCs w:val="21"/>
        </w:rPr>
      </w:pPr>
      <w:r>
        <w:rPr>
          <w:rFonts w:hint="eastAsia" w:ascii="宋体" w:hAnsi="宋体" w:cs="宋体"/>
          <w:b/>
          <w:bCs/>
          <w:i w:val="0"/>
          <w:iCs w:val="0"/>
          <w:color w:val="auto"/>
          <w:szCs w:val="21"/>
          <w:lang w:val="en-US" w:eastAsia="zh-CN"/>
        </w:rPr>
        <w:t>一</w:t>
      </w:r>
      <w:r>
        <w:rPr>
          <w:rFonts w:hint="eastAsia" w:ascii="宋体" w:hAnsi="宋体" w:eastAsia="宋体" w:cs="宋体"/>
          <w:b/>
          <w:bCs/>
          <w:i w:val="0"/>
          <w:iCs w:val="0"/>
          <w:color w:val="auto"/>
          <w:szCs w:val="21"/>
          <w:lang w:val="en-US" w:eastAsia="zh-CN"/>
        </w:rPr>
        <w:t>、</w:t>
      </w:r>
      <w:r>
        <w:rPr>
          <w:rFonts w:hint="eastAsia" w:ascii="宋体" w:hAnsi="宋体" w:eastAsia="宋体" w:cs="宋体"/>
          <w:b/>
          <w:bCs/>
          <w:i w:val="0"/>
          <w:iCs w:val="0"/>
          <w:color w:val="auto"/>
          <w:szCs w:val="21"/>
        </w:rPr>
        <w:t>采购项目内容</w:t>
      </w:r>
    </w:p>
    <w:p w14:paraId="19BD6A74">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（一）</w:t>
      </w:r>
      <w:r>
        <w:rPr>
          <w:rFonts w:hint="eastAsia" w:ascii="宋体" w:hAnsi="宋体" w:eastAsia="宋体" w:cs="宋体"/>
          <w:b/>
          <w:bCs/>
          <w:color w:val="auto"/>
          <w:szCs w:val="21"/>
          <w:highlight w:val="none"/>
          <w:lang w:val="en-US" w:eastAsia="zh-CN"/>
        </w:rPr>
        <w:t>采购需求</w:t>
      </w:r>
    </w:p>
    <w:tbl>
      <w:tblPr>
        <w:tblStyle w:val="2"/>
        <w:tblW w:w="0" w:type="auto"/>
        <w:jc w:val="center"/>
        <w:tblLayout w:type="autofit"/>
        <w:tblCellMar>
          <w:top w:w="0" w:type="dxa"/>
          <w:left w:w="0" w:type="dxa"/>
          <w:bottom w:w="0" w:type="dxa"/>
          <w:right w:w="0" w:type="dxa"/>
        </w:tblCellMar>
      </w:tblPr>
      <w:tblGrid>
        <w:gridCol w:w="862"/>
        <w:gridCol w:w="2234"/>
        <w:gridCol w:w="915"/>
        <w:gridCol w:w="2615"/>
        <w:gridCol w:w="1710"/>
      </w:tblGrid>
      <w:tr w14:paraId="305FEC7F">
        <w:tblPrEx>
          <w:tblCellMar>
            <w:top w:w="0" w:type="dxa"/>
            <w:left w:w="0" w:type="dxa"/>
            <w:bottom w:w="0" w:type="dxa"/>
            <w:right w:w="0" w:type="dxa"/>
          </w:tblCellMar>
        </w:tblPrEx>
        <w:trPr>
          <w:trHeight w:val="454" w:hRule="atLeast"/>
          <w:jc w:val="center"/>
        </w:trPr>
        <w:tc>
          <w:tcPr>
            <w:tcW w:w="86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D34F3B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序号</w:t>
            </w:r>
          </w:p>
        </w:tc>
        <w:tc>
          <w:tcPr>
            <w:tcW w:w="2234"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674A93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采购内容</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B4D15F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数量</w:t>
            </w:r>
          </w:p>
        </w:tc>
        <w:tc>
          <w:tcPr>
            <w:tcW w:w="26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CA1AAA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交货</w:t>
            </w:r>
            <w:r>
              <w:rPr>
                <w:rFonts w:hint="eastAsia" w:ascii="宋体" w:hAnsi="宋体" w:eastAsia="宋体" w:cs="宋体"/>
                <w:b w:val="0"/>
                <w:bCs w:val="0"/>
                <w:color w:val="auto"/>
                <w:szCs w:val="21"/>
                <w:highlight w:val="none"/>
                <w:lang w:val="en-US" w:eastAsia="zh-CN"/>
              </w:rPr>
              <w:t>期</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8BE240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预算金额（元）</w:t>
            </w:r>
          </w:p>
        </w:tc>
      </w:tr>
      <w:tr w14:paraId="2A056F0F">
        <w:tblPrEx>
          <w:tblCellMar>
            <w:top w:w="0" w:type="dxa"/>
            <w:left w:w="0" w:type="dxa"/>
            <w:bottom w:w="0" w:type="dxa"/>
            <w:right w:w="0" w:type="dxa"/>
          </w:tblCellMar>
        </w:tblPrEx>
        <w:trPr>
          <w:trHeight w:val="889" w:hRule="atLeast"/>
          <w:jc w:val="center"/>
        </w:trPr>
        <w:tc>
          <w:tcPr>
            <w:tcW w:w="86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87041F0">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w:t>
            </w:r>
          </w:p>
        </w:tc>
        <w:tc>
          <w:tcPr>
            <w:tcW w:w="2234"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EF9F22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i w:val="0"/>
                <w:iCs w:val="0"/>
                <w:color w:val="auto"/>
                <w:sz w:val="21"/>
                <w:szCs w:val="21"/>
                <w:lang w:eastAsia="zh-CN"/>
              </w:rPr>
              <w:t>2024年仁化县残疾人家庭无障碍改造采购项目</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EEDA19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1项</w:t>
            </w:r>
          </w:p>
        </w:tc>
        <w:tc>
          <w:tcPr>
            <w:tcW w:w="26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022E6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自合同签订之日起30个日历天内完成供货及验收合格。</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81177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i w:val="0"/>
                <w:iCs w:val="0"/>
                <w:color w:val="auto"/>
                <w:sz w:val="21"/>
                <w:szCs w:val="21"/>
                <w:highlight w:val="none"/>
                <w:lang w:val="en-US" w:eastAsia="zh-CN"/>
              </w:rPr>
              <w:t>120,229.00</w:t>
            </w:r>
          </w:p>
        </w:tc>
      </w:tr>
    </w:tbl>
    <w:p w14:paraId="4CE84863">
      <w:pPr>
        <w:keepNext w:val="0"/>
        <w:keepLines w:val="0"/>
        <w:pageBreakBefore w:val="0"/>
        <w:widowControl w:val="0"/>
        <w:kinsoku/>
        <w:wordWrap/>
        <w:overflowPunct/>
        <w:topLinePunct w:val="0"/>
        <w:autoSpaceDE/>
        <w:autoSpaceDN/>
        <w:bidi w:val="0"/>
        <w:adjustRightInd/>
        <w:snapToGrid/>
        <w:spacing w:line="360" w:lineRule="auto"/>
        <w:ind w:left="1052" w:leftChars="300" w:hanging="422" w:hangingChars="200"/>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注：1、报价超出预算金额的列为无效</w:t>
      </w:r>
      <w:r>
        <w:rPr>
          <w:rFonts w:hint="eastAsia" w:ascii="宋体" w:hAnsi="宋体" w:cs="宋体"/>
          <w:b/>
          <w:bCs/>
          <w:color w:val="auto"/>
          <w:sz w:val="21"/>
          <w:szCs w:val="21"/>
          <w:highlight w:val="none"/>
          <w:u w:val="none"/>
          <w:lang w:eastAsia="zh-CN"/>
        </w:rPr>
        <w:t>响应</w:t>
      </w:r>
      <w:r>
        <w:rPr>
          <w:rFonts w:hint="eastAsia" w:ascii="宋体" w:hAnsi="宋体" w:eastAsia="宋体" w:cs="宋体"/>
          <w:b/>
          <w:bCs/>
          <w:color w:val="auto"/>
          <w:sz w:val="21"/>
          <w:szCs w:val="21"/>
          <w:highlight w:val="none"/>
          <w:u w:val="none"/>
        </w:rPr>
        <w:t>处理。</w:t>
      </w:r>
    </w:p>
    <w:p w14:paraId="0EF37A7D">
      <w:pPr>
        <w:keepNext w:val="0"/>
        <w:keepLines w:val="0"/>
        <w:pageBreakBefore w:val="0"/>
        <w:widowControl w:val="0"/>
        <w:kinsoku/>
        <w:wordWrap/>
        <w:overflowPunct/>
        <w:topLinePunct w:val="0"/>
        <w:autoSpaceDE/>
        <w:autoSpaceDN/>
        <w:bidi w:val="0"/>
        <w:adjustRightInd/>
        <w:snapToGrid/>
        <w:spacing w:line="360" w:lineRule="auto"/>
        <w:ind w:left="1052" w:leftChars="300" w:hanging="422" w:hangingChars="200"/>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2、</w:t>
      </w:r>
      <w:r>
        <w:rPr>
          <w:rFonts w:hint="eastAsia" w:ascii="宋体" w:hAnsi="宋体" w:cs="宋体"/>
          <w:b/>
          <w:bCs/>
          <w:color w:val="auto"/>
          <w:sz w:val="21"/>
          <w:szCs w:val="21"/>
          <w:highlight w:val="none"/>
          <w:u w:val="none"/>
          <w:lang w:eastAsia="zh-CN"/>
        </w:rPr>
        <w:t>供应商</w:t>
      </w:r>
      <w:r>
        <w:rPr>
          <w:rFonts w:hint="eastAsia" w:ascii="宋体" w:hAnsi="宋体" w:eastAsia="宋体" w:cs="宋体"/>
          <w:b/>
          <w:bCs/>
          <w:color w:val="auto"/>
          <w:sz w:val="21"/>
          <w:szCs w:val="21"/>
          <w:highlight w:val="none"/>
          <w:u w:val="none"/>
        </w:rPr>
        <w:t>必须对本项目的全部内容进行报价，如有缺漏，将导致无效</w:t>
      </w:r>
      <w:r>
        <w:rPr>
          <w:rFonts w:hint="eastAsia" w:ascii="宋体" w:hAnsi="宋体" w:cs="宋体"/>
          <w:b/>
          <w:bCs/>
          <w:color w:val="auto"/>
          <w:sz w:val="21"/>
          <w:szCs w:val="21"/>
          <w:highlight w:val="none"/>
          <w:u w:val="none"/>
          <w:lang w:eastAsia="zh-CN"/>
        </w:rPr>
        <w:t>响应</w:t>
      </w:r>
      <w:r>
        <w:rPr>
          <w:rFonts w:hint="eastAsia" w:ascii="宋体" w:hAnsi="宋体" w:eastAsia="宋体" w:cs="宋体"/>
          <w:b/>
          <w:bCs/>
          <w:color w:val="auto"/>
          <w:sz w:val="21"/>
          <w:szCs w:val="21"/>
          <w:highlight w:val="none"/>
          <w:u w:val="none"/>
        </w:rPr>
        <w:t>。</w:t>
      </w:r>
    </w:p>
    <w:p w14:paraId="75DB4389">
      <w:pPr>
        <w:keepNext w:val="0"/>
        <w:keepLines w:val="0"/>
        <w:pageBreakBefore w:val="0"/>
        <w:widowControl w:val="0"/>
        <w:kinsoku/>
        <w:wordWrap/>
        <w:overflowPunct/>
        <w:topLinePunct w:val="0"/>
        <w:autoSpaceDE/>
        <w:autoSpaceDN/>
        <w:bidi w:val="0"/>
        <w:adjustRightInd/>
        <w:snapToGrid/>
        <w:spacing w:line="360" w:lineRule="auto"/>
        <w:ind w:left="1052" w:leftChars="300" w:hanging="422" w:hangingChars="200"/>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3、报价应为人民币含税全包价，包括测试、运输、安装调试、验收等一切费用。</w:t>
      </w:r>
    </w:p>
    <w:p w14:paraId="6FD31124">
      <w:pPr>
        <w:keepNext/>
        <w:keepLines/>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（二）采购项目需求汇总表及详细技术参数</w:t>
      </w:r>
    </w:p>
    <w:tbl>
      <w:tblPr>
        <w:tblStyle w:val="2"/>
        <w:tblW w:w="87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0"/>
        <w:gridCol w:w="1553"/>
        <w:gridCol w:w="5010"/>
        <w:gridCol w:w="727"/>
        <w:gridCol w:w="695"/>
      </w:tblGrid>
      <w:tr w14:paraId="3BCB5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7E5F8D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03BC9D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产品名称</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2079B2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技术参数</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518467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493E8D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r>
      <w:tr w14:paraId="32382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5FCDA8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61CD8C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I型尼龙扶手40cm</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485FA3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1.扶手长度为400mm，产品功能:本产品有点状防滑、横纵双向防滑功能，同时有抗菌功能。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产品材质:外壳为优质尼龙材料，管径35毫米，外管为抗菌尼龙材料，内衬管径25毫米，内管为201不锈钢内管，配夜光垫圈，外管壁厚(带防滑点)≥4.0mm内管壁厚≥1.0mm，法兰片和螺丝为不锈钢材质，连接管件整体为整体金属外包抗菌尼龙。承重150kg左右。</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4F73A7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498973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5C030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291FC2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3F650E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I型尼龙扶手60cm</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507B0C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1.扶手长度为600mm，产品功能:本产品有点状防滑、横纵双向防滑功能，同时有抗菌功能。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产品材质:外壳为优质尼龙材料，管径35毫米，外管为抗菌尼龙材料，内衬管径25毫米，内管为201不锈钢内管，配夜光垫圈，外管壁厚(带防滑点)≥4.0mm内管壁厚≥1.0mm，法兰片和螺丝为不锈钢材质，连接管件整体为整体金属外包抗菌尼龙。承重150kg左右。</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0077E5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34E55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r>
      <w:tr w14:paraId="09ED8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0570E6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79FB0C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L型尼龙扶手</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4323BB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1.扶手规格为750*500mm，产品功能:本产品有点状防滑、横纵双向防滑功能，同时有抗菌功能。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产品材质:外壳为优质尼龙材料，管径35毫米，外管为抗菌尼龙材料，内衬管径25毫米，内管为201不锈钢内管，配夜光垫圈，外管壁厚(带防滑点)≥4.0mm内管壁厚≥1.0mm，法兰片和螺丝为不锈钢材质，连接管件整体为整体金属外包抗菌尼龙。承重150kg左右。</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68CFDF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0DEAE0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7700F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687DAE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612A60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通道尼龙扶手</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662B4E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1.产品功能:本产品有点状防滑、横纵双向防滑功能，同时有抗菌功能。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产品材质:外壳为优质尼龙材料，管径35毫米，外管为抗菌尼龙材料，内衬管径25毫米，内管为201不锈钢内管，配夜光垫圈，外管壁厚(带防滑点)≥4.0mm内管壁厚≥1.0mm，法兰片和螺丝为不锈钢材质，连接管件整体为整体金属外包抗菌尼龙。承重150kg左右。</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576AB1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7B2913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r>
      <w:tr w14:paraId="14AB3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0E6778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6CC9CD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可上翻尼龙扶手</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4718A0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1.扶手规格为600*130mm，产品功能:本产品有点状防滑、横纵双向防滑功能，同时有抗菌功能。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产品材质:外壳为优质尼龙材料，管径35毫米，外管为抗菌尼龙材料，内衬管径25毫米，内管为201不锈钢内管，配夜光垫圈，外管壁厚(带防滑点)≥4.0mm内管壁厚≥1.0mm，法兰片和螺丝为不锈钢材质，连接管件整体为整体金属外包抗菌尼龙。承重150kg左右。</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5B71F0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2B8B0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6C61E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118C8D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267A04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可上翻带活动支撑尼龙扶手</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093E7A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1.扶手规格为600*750mm，产品功能:本产品有点状防滑、横纵双向防滑功能，同时有抗菌功能。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产品材质:外壳为优质尼龙材料，管径35毫米，外管为抗菌尼龙材料，内衬管径25毫米，内管为201不锈钢内管，配夜光垫圈，外管壁厚(带防滑点)≥4.0mm内管壁厚≥1.0mm，法兰片和螺丝为不锈钢材质，连接管件整体为整体金属外包抗菌尼龙。承重150kg左右。</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74944F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DC4AE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6D1E8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485A70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7D67B6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可上翻带活动支撑沐浴凳</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565439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1.扶手规格为420*350mm，产品功能:本产品有点状防滑、横纵双向防滑功能，同时有抗菌功能。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产品材质:外壳为优质尼龙材料，管径35毫米，外管为抗菌尼龙材料，内衬管径25毫米，内管为201不锈钢内管，配夜光垫圈，外管壁厚(带防滑点)≥4.0mm内管壁厚≥1.0mm，法兰片和螺丝为不锈钢材质，连接管件整体为整体金属外包抗菌尼龙。承重150kg左右。</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135020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006E76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14:paraId="4CA3C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18DCA1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7BC624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多功能坐便轮椅</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49527D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1.车架选用航钛高强度特种铝型材焊接而成,具有强度高,重量轻的特性，车架表面经氧化处理后,具有抗老化、不会生锈的特质。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2.把手管可以向下折叠，可以大大减少包装尺寸。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3.扶手架弯曲管的设计看起来更加简洁大方且美观，加长型PU弯扶手，耐用，美观。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4.靠垫：采用进口原料阻燃网布料车缝成型，质地柔软透气防滑，平整美观，抗拉强度高。</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5.厕桶和吹塑座板采用环保工程塑料材料，具有防水、容易清洁功能；厕桶则是采用滑槽式类似梯形的厕桶。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6.安全装置：采用新设计自锁式刹车，刹车装置既有普通刹车效果且带自锁刹车效果，方便快捷、安全，如需要将轮椅静止时，可将刹车手把向下压到卡位处即可。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7.脚踏板处采用螺丝锁紧装置，稳固安全且方便拆卸。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8.前置耐磨6寸PVC万向前轮配铝合金前轮叉；后置16寸PU胎后轮，具有免充气耐磨系数高的特点，减震功能卓越。</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9.可折叠式车架,方便携带出行，且能节省占用空间位置。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10.总长：90cm；总宽：54cm；总高：71cm；折叠宽度：29cm；座位宽度：42cm；座位深度：43cm；座位离地面高度：47/50cm；靠背高度：40cm；前轮直径：15cm ；后轮直径:31cm；车架材质/管径*厚度：6061/φ19*2T；净重量：11.7kg；承重量：100kg；包装尺寸：91x30x72cm。</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39FEDC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88857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3FAB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03A366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1B6F46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多功能轮椅</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451328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1.车架选用高强度特种铝型材焊接而成，表面经烤漆处理不仅美观还具有不褪色、防锈能力强，安全性能高，坚固耐用等特点。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2.座垫/靠垫：采用阻燃黑牛布料车缝成型，质地柔软透气防滑，平整美观，抗拉强度高，内置中间夹层高达600d的帆布。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3.靠背架：角度完全按人体腰部生理弯曲度来设计，为人体提供最佳支撑。</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4.扶手架/脚踏板：扶手架可后翻转，可调节高低脚踏板，操作简单快捷。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5.后轮：22英寸（55cm）优质PU后轮，减震功能卓越，配手轮装置（手直接驱动轮椅时使用）。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6.前轮：6英寸（15cm）PVC前轮，配高强度塑料轮毂与一体铸造铝合金前叉。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7.刹车结构：刹车装置配有防护罩盒，采用肘节式刹车装置制动后低于座位面，灵活方便快捷、安全。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8.可折叠式车型方便携带出行，且能节省占用空间位置。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9.总长：98cm；总宽：52cm；总高：89cm；折叠宽度：32cm；座位宽度：35cm；座位深度：40cm；座地面高度：47cm；靠背高度：41cm；前轮直径：15cm；后轮直径：56cm；管径*厚度：φ22*2T；称重量：75kg；净重量：13kg。</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643A6C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09C97F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0BAF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74F136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7EDD9D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大理石灶台</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148E13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1.规格：高76cm、宽50cm-60cm，含安装。</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5A4B26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3D892B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r>
      <w:tr w14:paraId="28B30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2D365F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17CF50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无障碍水泥路面硬底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（基础，清理）</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43D0A4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1.厚10cm。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2.水泥、沙、石、混凝土结构。</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1D4F2D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F9A4F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28.5</w:t>
            </w:r>
          </w:p>
        </w:tc>
      </w:tr>
      <w:tr w14:paraId="2BFC4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577B7F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2722B5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卫生间降级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（含清理）</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7015DA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1.固体台阶拆除及清理。</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412D20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6D8BE5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735B5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50A732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7A399F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卫生间坐厕改造（地漏2个）</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1A9E4F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1.拆除蹲厕，新装坐厕，含接水管、角阀、软管等配件。</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004CB9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0EE540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14:paraId="0C039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141680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3C5221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防滑地砖</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1B6038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1.规格：30mm*30mm。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2.制造工艺：哑光；样式工艺：凹凸。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3.吸水性：≤0.1﹪。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4.耐磨系数：≤150mm。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5.抗冻性：耐急冷急热：145℃-15℃循环。</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450A6D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3A83EE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r>
      <w:tr w14:paraId="504C2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2FFC2F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01E9C3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拆旧卫生间门</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2C9D51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1.拆除旧门及清理。</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4DDF06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0A9901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FFED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36A1A5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283F6C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扩卫生间门</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3BEED4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1.扩大房门或卫生间门，含清理。</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171900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8F538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7491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6AB503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700230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202不锈钢安全防护门</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6A2721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1.202不锈钢材质，含门锁及安装。</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68D706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38F76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0561F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5123B9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3072C2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202不锈钢安全防护网</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42903E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1.202不锈钢材质，表面光滑，坚固耐用。</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54632B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46642E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r>
      <w:tr w14:paraId="79A50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4486F8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28D06A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不锈钢洗手盆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（含水龙头）</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0D565C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1.不锈钢洗手盆，接水管及水龙头等配件。</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44F868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23B91E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7B58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13F4A4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6C2245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202不锈钢护栏扶手</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0F54F1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1.不锈钢材质，面管50cm-60cm，高80cm-90cm，表面光滑，坚固耐用。</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4536FF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D7AFB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70.1</w:t>
            </w:r>
          </w:p>
        </w:tc>
      </w:tr>
      <w:tr w14:paraId="13CE8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3B41CB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085C70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定做卫生间门（80cm*195cm，双开）</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442E42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1.202不锈钢材质，含门锁及安装。</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3AFCDB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4295DF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706C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1D8FEE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553" w:type="dxa"/>
            <w:tcBorders>
              <w:top w:val="single" w:color="000000" w:sz="4" w:space="0"/>
              <w:left w:val="single" w:color="000000" w:sz="4" w:space="0"/>
              <w:bottom w:val="single" w:color="000000" w:sz="4" w:space="0"/>
              <w:right w:val="single" w:color="000000" w:sz="4" w:space="0"/>
            </w:tcBorders>
            <w:noWrap w:val="0"/>
            <w:vAlign w:val="center"/>
          </w:tcPr>
          <w:p w14:paraId="75C76E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加装电源线路、线槽、开关插座</w:t>
            </w:r>
          </w:p>
        </w:tc>
        <w:tc>
          <w:tcPr>
            <w:tcW w:w="5010" w:type="dxa"/>
            <w:tcBorders>
              <w:top w:val="single" w:color="000000" w:sz="4" w:space="0"/>
              <w:left w:val="single" w:color="000000" w:sz="4" w:space="0"/>
              <w:bottom w:val="single" w:color="000000" w:sz="4" w:space="0"/>
              <w:right w:val="single" w:color="000000" w:sz="4" w:space="0"/>
            </w:tcBorders>
            <w:noWrap w:val="0"/>
            <w:vAlign w:val="center"/>
          </w:tcPr>
          <w:p w14:paraId="571219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1.规格：2.5平方国标电源线，线槽，开关插座。</w:t>
            </w:r>
          </w:p>
        </w:tc>
        <w:tc>
          <w:tcPr>
            <w:tcW w:w="727" w:type="dxa"/>
            <w:tcBorders>
              <w:top w:val="single" w:color="000000" w:sz="4" w:space="0"/>
              <w:left w:val="single" w:color="000000" w:sz="4" w:space="0"/>
              <w:bottom w:val="single" w:color="000000" w:sz="4" w:space="0"/>
              <w:right w:val="single" w:color="000000" w:sz="4" w:space="0"/>
            </w:tcBorders>
            <w:noWrap w:val="0"/>
            <w:vAlign w:val="center"/>
          </w:tcPr>
          <w:p w14:paraId="6FA8B4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6F100C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r>
    </w:tbl>
    <w:p w14:paraId="1C78AA7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val="en-US" w:eastAsia="zh-CN"/>
        </w:rPr>
        <w:t>、商务条款</w:t>
      </w:r>
    </w:p>
    <w:p w14:paraId="7FBC144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（一）货物要求</w:t>
      </w:r>
    </w:p>
    <w:p w14:paraId="3B958EC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货物为原制造商制造的全新产品，整机无污染，无侵权行为、表面无划损、无任何缺陷隐患，在中国境内可依常规安全合法使用。</w:t>
      </w:r>
    </w:p>
    <w:p w14:paraId="4EEA996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交付验收标准依次序对照适用标准为：</w:t>
      </w:r>
    </w:p>
    <w:p w14:paraId="5C3D7C3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①符合中华人民共和国国家安全质量标准、环保标准或行业标准；</w:t>
      </w:r>
    </w:p>
    <w:p w14:paraId="6230517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②符合</w:t>
      </w:r>
      <w:r>
        <w:rPr>
          <w:rFonts w:hint="eastAsia" w:ascii="宋体" w:hAnsi="宋体" w:cs="宋体"/>
          <w:color w:val="auto"/>
          <w:szCs w:val="21"/>
          <w:highlight w:val="none"/>
          <w:lang w:eastAsia="zh-CN"/>
        </w:rPr>
        <w:t>用户需求</w:t>
      </w:r>
      <w:r>
        <w:rPr>
          <w:rFonts w:hint="eastAsia" w:ascii="宋体" w:hAnsi="宋体" w:eastAsia="宋体" w:cs="宋体"/>
          <w:color w:val="auto"/>
          <w:szCs w:val="21"/>
          <w:highlight w:val="none"/>
        </w:rPr>
        <w:t>和响应承诺中</w:t>
      </w:r>
      <w:r>
        <w:rPr>
          <w:rFonts w:hint="eastAsia" w:ascii="宋体" w:hAnsi="宋体" w:cs="宋体"/>
          <w:color w:val="auto"/>
          <w:szCs w:val="21"/>
          <w:highlight w:val="none"/>
          <w:lang w:eastAsia="zh-CN"/>
        </w:rPr>
        <w:t>采购人</w:t>
      </w:r>
      <w:r>
        <w:rPr>
          <w:rFonts w:hint="eastAsia" w:ascii="宋体" w:hAnsi="宋体" w:eastAsia="宋体" w:cs="宋体"/>
          <w:color w:val="auto"/>
          <w:szCs w:val="21"/>
          <w:highlight w:val="none"/>
        </w:rPr>
        <w:t>认可的合理最佳配置、参数及各项要求；</w:t>
      </w:r>
    </w:p>
    <w:p w14:paraId="2A88131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③货物来源国官方标准。    </w:t>
      </w:r>
    </w:p>
    <w:p w14:paraId="2ABE7E2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进口产品必须具备原产地证明和商检局的检验证明及合法进货渠道证明。</w:t>
      </w:r>
    </w:p>
    <w:p w14:paraId="1B7A19D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货物为原厂商未启封全新包装，具出厂合格证，序列号、包装箱号与出厂批号一致，并可追索查阅。</w:t>
      </w:r>
    </w:p>
    <w:p w14:paraId="341A5C3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供应商应将关键主机设备的用户手册、保修手册、有关单证资料及配备件、随机工具等交付给采购人，使用操作及安全须知等重要资料应附有中文说明。</w:t>
      </w:r>
    </w:p>
    <w:p w14:paraId="4EF737A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6、所有设备交货后的拆箱、安装、调试等项目工作（包括费用）均由供应商负责，但必须在用户指定人员的参与下进行。</w:t>
      </w:r>
    </w:p>
    <w:p w14:paraId="333CB4B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7、本项目为交钥匙承包项目，供应商承包及负责</w:t>
      </w:r>
      <w:r>
        <w:rPr>
          <w:rFonts w:hint="eastAsia" w:ascii="宋体" w:hAnsi="宋体" w:cs="宋体"/>
          <w:color w:val="auto"/>
          <w:szCs w:val="21"/>
          <w:highlight w:val="none"/>
          <w:lang w:eastAsia="zh-CN"/>
        </w:rPr>
        <w:t>用户需求</w:t>
      </w:r>
      <w:r>
        <w:rPr>
          <w:rFonts w:hint="eastAsia" w:ascii="宋体" w:hAnsi="宋体" w:eastAsia="宋体" w:cs="宋体"/>
          <w:color w:val="auto"/>
          <w:szCs w:val="21"/>
          <w:highlight w:val="none"/>
        </w:rPr>
        <w:t>中对供应商要求的一切事宜及责</w:t>
      </w:r>
      <w:r>
        <w:rPr>
          <w:rFonts w:hint="eastAsia" w:ascii="宋体" w:hAnsi="宋体" w:eastAsia="宋体" w:cs="宋体"/>
          <w:color w:val="auto"/>
          <w:szCs w:val="21"/>
          <w:highlight w:val="none"/>
          <w:lang w:eastAsia="zh-CN"/>
        </w:rPr>
        <w:t>任。供应商不得以任何方式转包或分包本项目。</w:t>
      </w:r>
    </w:p>
    <w:p w14:paraId="7C7F0D2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8、本项目对用户需求中的设备清单未列出而本项目所必须的配件由供应商提供，成交价为本项目的总价，采购人不再追加任何费用。</w:t>
      </w:r>
    </w:p>
    <w:p w14:paraId="64BB99B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9、本项目所有的设备和材料所涉及的设计标准、规范，产品标准、规范，工程标准、规范， 验收标准、规范等必须完全符合中华人民共和国及省、市相应的标准和规范。 </w:t>
      </w:r>
    </w:p>
    <w:p w14:paraId="76507F1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10、成交供应商应在项目实施过程中装设临时围栏或警告标志，不得超越指定的项目实施范围进行实施，禁止无关人员进入现场。未经采购人同意，成交供应商不得擅自使用与本项目无关的采购人设施设备；不得擅自拆除、变更采购人防护设施及标示。成交供应商在施工过程中应确保安全文明施工，做到人离场清。 </w:t>
      </w:r>
    </w:p>
    <w:p w14:paraId="3E4D091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highlight w:val="none"/>
          <w:lang w:val="en-US" w:eastAsia="zh-CN"/>
        </w:rPr>
      </w:pPr>
      <w:r>
        <w:rPr>
          <w:rFonts w:hint="eastAsia" w:ascii="宋体" w:hAnsi="宋体" w:eastAsia="宋体" w:cs="宋体"/>
          <w:color w:val="auto"/>
          <w:szCs w:val="21"/>
          <w:highlight w:val="none"/>
          <w:lang w:val="en-US" w:eastAsia="zh-CN"/>
        </w:rPr>
        <w:t xml:space="preserve">11、成交供应商必须按照采购人对外来人员的管理要求，配合做好出入管理工作。 成交供应商在施工期间应严格遵守国家、省市相关文明施工、深夜施工、环保和城管等规定，建立规章制度和防护措施。 </w:t>
      </w:r>
    </w:p>
    <w:p w14:paraId="046BC6F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（二）售后服务要求：</w:t>
      </w:r>
    </w:p>
    <w:p w14:paraId="3F24C59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1、项目验收合格之日起所有设备一年免费上门保修，其它设备按厂家保修条例保修；</w:t>
      </w:r>
    </w:p>
    <w:p w14:paraId="6B49A31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2、保修期内出现质量问题2小时电话响应，4小时内到达现场免费上门包修。48小时内处理完毕。若在48小时内仍未能有效解决，须免费提供同档次的设备临时使用。</w:t>
      </w:r>
    </w:p>
    <w:p w14:paraId="331C16B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（三）项目完成时间及项目实施地点</w:t>
      </w:r>
    </w:p>
    <w:p w14:paraId="3B6A6DA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1、完成时间：自合同签订之日起</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个日历天内完成供货、安装调试并交付使用。</w:t>
      </w:r>
    </w:p>
    <w:p w14:paraId="5EAC4E4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2、设备安装位置由采购人指定。</w:t>
      </w:r>
    </w:p>
    <w:p w14:paraId="1CAA6D2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（四）验收标准</w:t>
      </w:r>
    </w:p>
    <w:p w14:paraId="4D51D65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1、货物若有国家标准按照国家标准验收，若无国家标准按行业标准验收，为原制造商制造的全新产品，整机无污染，无侵权行为、表面无划损、无任何缺陷隐患，在中国境内可依常规安全合法使用。 </w:t>
      </w:r>
    </w:p>
    <w:p w14:paraId="503471D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2、货物为原厂商未启封全新包装，具出厂合格证，序列号、包装箱号与出厂批号一致，并可追索查阅。所有随设备的附件必须齐全。</w:t>
      </w:r>
    </w:p>
    <w:p w14:paraId="5831AEF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、供应商应将关键主机设备的用户手册、保修手册、有关单证资料及配备件、随机工具等交付给采购人，使用操作及安全须知等重要资料应附有中文说明。</w:t>
      </w:r>
    </w:p>
    <w:p w14:paraId="6F44C36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采购人组成验收小组按国家有关规定、规范进行验收，必要时邀请相关的专业人员或机构参与验收。因货物质量问题发生争议时，由本地质量技术监督部门鉴定。货物符合质量技术标准的，鉴定费由采购人承担；否则鉴定费由供应商承担。</w:t>
      </w:r>
    </w:p>
    <w:p w14:paraId="4968F4A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（五）付款方式</w:t>
      </w:r>
    </w:p>
    <w:p w14:paraId="5E74D06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由采购人按下列程序付款：</w:t>
      </w:r>
    </w:p>
    <w:p w14:paraId="73607DA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成交供应商</w:t>
      </w:r>
      <w:r>
        <w:rPr>
          <w:rFonts w:hint="eastAsia" w:ascii="宋体" w:hAnsi="宋体" w:cs="宋体"/>
          <w:color w:val="auto"/>
          <w:szCs w:val="21"/>
          <w:highlight w:val="none"/>
          <w:lang w:eastAsia="zh-CN"/>
        </w:rPr>
        <w:t>按合同签订时间及按</w:t>
      </w:r>
      <w:r>
        <w:rPr>
          <w:rFonts w:hint="eastAsia" w:ascii="宋体" w:hAnsi="宋体" w:eastAsia="宋体" w:cs="宋体"/>
          <w:color w:val="auto"/>
          <w:szCs w:val="21"/>
          <w:highlight w:val="none"/>
        </w:rPr>
        <w:t>要求</w:t>
      </w:r>
      <w:r>
        <w:rPr>
          <w:rFonts w:hint="eastAsia" w:ascii="宋体" w:hAnsi="宋体" w:cs="宋体"/>
          <w:color w:val="auto"/>
          <w:szCs w:val="21"/>
          <w:highlight w:val="none"/>
          <w:lang w:eastAsia="zh-CN"/>
        </w:rPr>
        <w:t>完成</w:t>
      </w:r>
      <w:r>
        <w:rPr>
          <w:rFonts w:hint="eastAsia" w:ascii="宋体" w:hAnsi="宋体" w:eastAsia="宋体" w:cs="宋体"/>
          <w:color w:val="auto"/>
          <w:szCs w:val="21"/>
          <w:highlight w:val="none"/>
        </w:rPr>
        <w:t>后，采购人</w:t>
      </w:r>
      <w:r>
        <w:rPr>
          <w:rFonts w:hint="eastAsia" w:ascii="宋体" w:hAnsi="宋体" w:cs="宋体"/>
          <w:color w:val="auto"/>
          <w:szCs w:val="21"/>
          <w:highlight w:val="none"/>
          <w:lang w:eastAsia="zh-CN"/>
        </w:rPr>
        <w:t>组织</w:t>
      </w:r>
      <w:r>
        <w:rPr>
          <w:rFonts w:hint="eastAsia" w:ascii="宋体" w:hAnsi="宋体" w:eastAsia="宋体" w:cs="宋体"/>
          <w:color w:val="auto"/>
          <w:szCs w:val="21"/>
          <w:highlight w:val="none"/>
        </w:rPr>
        <w:t>验收，验收合格后成交供应商开具发票，采购人收到发票后30日内向成交供应商支付100%合同款。</w:t>
      </w:r>
    </w:p>
    <w:p w14:paraId="34EF0EC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成交供应商凭以下有效文件与采购人结算：</w:t>
      </w:r>
    </w:p>
    <w:p w14:paraId="592EB5D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w:t>
      </w:r>
    </w:p>
    <w:p w14:paraId="491CB7F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（2）成交供应商开具的正式发票；</w:t>
      </w:r>
    </w:p>
    <w:p w14:paraId="6170C6F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（3）验收报告（加盖采购人公章）；</w:t>
      </w:r>
    </w:p>
    <w:p w14:paraId="0856119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（4）成交通知书。</w:t>
      </w:r>
    </w:p>
    <w:p w14:paraId="5CFB892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yOTNiMTg3YWIzYzM3ZGFkMjVmN2ZjOWMyY2IyZGIifQ=="/>
  </w:docVars>
  <w:rsids>
    <w:rsidRoot w:val="4662319F"/>
    <w:rsid w:val="46623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3</TotalTime>
  <ScaleCrop>false</ScaleCrop>
  <LinksUpToDate>false</LinksUpToDate>
  <CharactersWithSpaces>0</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2024-07-10T03:34:00Z</dcterms:created>
  <dc:creator>8237476879</dc:creator>
  <cp:lastModifiedBy>8237476879</cp:lastModifiedBy>
  <dcterms:modified xsi:type="dcterms:W3CDTF">2024-07-10T03:39:12Z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5A46C3CFC671474A993DB0F02712C81D_11</vt:lpwstr>
  </property>
</Properties>
</file>