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30C3BF">
      <w:pPr>
        <w:jc w:val="center"/>
        <w:rPr>
          <w:rFonts w:hint="eastAsia" w:ascii="宋体" w:hAnsi="宋体" w:eastAsia="宋体" w:cs="宋体"/>
          <w:b/>
          <w:bCs/>
          <w:sz w:val="44"/>
          <w:szCs w:val="44"/>
        </w:rPr>
      </w:pPr>
      <w:r>
        <w:rPr>
          <w:rFonts w:hint="eastAsia" w:ascii="宋体" w:hAnsi="宋体" w:eastAsia="宋体" w:cs="宋体"/>
          <w:b/>
          <w:bCs/>
          <w:sz w:val="44"/>
          <w:szCs w:val="44"/>
        </w:rPr>
        <w:t>电子询价报价一览表</w:t>
      </w:r>
    </w:p>
    <w:p w14:paraId="071C65A0">
      <w:pPr>
        <w:pStyle w:val="4"/>
        <w:spacing w:line="360" w:lineRule="auto"/>
        <w:rPr>
          <w:rFonts w:hint="eastAsia" w:ascii="宋体" w:hAnsi="宋体" w:eastAsia="宋体" w:cs="宋体"/>
        </w:rPr>
      </w:pPr>
    </w:p>
    <w:p w14:paraId="7677F6A9">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项目名称：仁化县人民法院法警羁押室门控系统升级采购项目</w:t>
      </w:r>
    </w:p>
    <w:p w14:paraId="7CBBA14A">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项目编号：2026-124-GDHZ-DZX</w:t>
      </w:r>
    </w:p>
    <w:p w14:paraId="44F7F883">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预算金额：¥74,800.00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611"/>
        <w:gridCol w:w="3190"/>
        <w:gridCol w:w="2018"/>
        <w:gridCol w:w="2277"/>
        <w:gridCol w:w="1129"/>
        <w:gridCol w:w="1481"/>
      </w:tblGrid>
      <w:tr w14:paraId="1AED5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97" w:hRule="atLeast"/>
          <w:jc w:val="center"/>
        </w:trPr>
        <w:tc>
          <w:tcPr>
            <w:tcW w:w="0" w:type="auto"/>
            <w:shd w:val="clear" w:color="auto" w:fill="FFFFFF"/>
            <w:noWrap w:val="0"/>
            <w:tcMar>
              <w:top w:w="60" w:type="dxa"/>
              <w:left w:w="120" w:type="dxa"/>
              <w:bottom w:w="60" w:type="dxa"/>
              <w:right w:w="120" w:type="dxa"/>
            </w:tcMar>
            <w:vAlign w:val="center"/>
          </w:tcPr>
          <w:p w14:paraId="06AD437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bCs/>
                <w:i w:val="0"/>
                <w:iCs w:val="0"/>
                <w:caps w:val="0"/>
                <w:color w:val="auto"/>
                <w:spacing w:val="0"/>
                <w:sz w:val="24"/>
                <w:szCs w:val="24"/>
                <w:lang w:val="en-US" w:eastAsia="zh-CN"/>
              </w:rPr>
            </w:pPr>
            <w:r>
              <w:rPr>
                <w:rFonts w:hint="eastAsia" w:ascii="宋体" w:hAnsi="宋体" w:eastAsia="宋体" w:cs="宋体"/>
                <w:b/>
                <w:bCs/>
                <w:i w:val="0"/>
                <w:iCs w:val="0"/>
                <w:caps w:val="0"/>
                <w:color w:val="auto"/>
                <w:spacing w:val="0"/>
                <w:sz w:val="24"/>
                <w:szCs w:val="24"/>
                <w:lang w:val="en-US" w:eastAsia="zh-CN"/>
              </w:rPr>
              <w:t>序号</w:t>
            </w:r>
          </w:p>
        </w:tc>
        <w:tc>
          <w:tcPr>
            <w:tcW w:w="0" w:type="auto"/>
            <w:shd w:val="clear" w:color="auto" w:fill="FFFFFF"/>
            <w:noWrap w:val="0"/>
            <w:tcMar>
              <w:top w:w="60" w:type="dxa"/>
              <w:left w:w="120" w:type="dxa"/>
              <w:bottom w:w="60" w:type="dxa"/>
              <w:right w:w="120" w:type="dxa"/>
            </w:tcMar>
            <w:vAlign w:val="center"/>
          </w:tcPr>
          <w:p w14:paraId="1162B31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采购内容</w:t>
            </w:r>
          </w:p>
        </w:tc>
        <w:tc>
          <w:tcPr>
            <w:tcW w:w="0" w:type="auto"/>
            <w:shd w:val="clear" w:color="auto" w:fill="FFFFFF"/>
            <w:noWrap w:val="0"/>
            <w:tcMar>
              <w:top w:w="60" w:type="dxa"/>
              <w:left w:w="120" w:type="dxa"/>
              <w:bottom w:w="60" w:type="dxa"/>
              <w:right w:w="120" w:type="dxa"/>
            </w:tcMar>
            <w:vAlign w:val="center"/>
          </w:tcPr>
          <w:p w14:paraId="3019C3C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bCs/>
                <w:i w:val="0"/>
                <w:iCs w:val="0"/>
                <w:caps w:val="0"/>
                <w:color w:val="auto"/>
                <w:spacing w:val="0"/>
                <w:sz w:val="24"/>
                <w:szCs w:val="24"/>
                <w:lang w:val="en-US" w:eastAsia="zh-CN"/>
              </w:rPr>
            </w:pPr>
            <w:r>
              <w:rPr>
                <w:rFonts w:hint="eastAsia" w:ascii="宋体" w:hAnsi="宋体" w:eastAsia="宋体" w:cs="宋体"/>
                <w:b/>
                <w:bCs/>
                <w:i w:val="0"/>
                <w:iCs w:val="0"/>
                <w:caps w:val="0"/>
                <w:color w:val="auto"/>
                <w:spacing w:val="0"/>
                <w:sz w:val="24"/>
                <w:szCs w:val="24"/>
                <w:lang w:val="en-US" w:eastAsia="zh-CN"/>
              </w:rPr>
              <w:t>采购需求的技术、服务要求</w:t>
            </w:r>
          </w:p>
        </w:tc>
        <w:tc>
          <w:tcPr>
            <w:tcW w:w="0" w:type="auto"/>
            <w:shd w:val="clear" w:color="auto" w:fill="FFFFFF"/>
            <w:noWrap w:val="0"/>
            <w:tcMar>
              <w:top w:w="60" w:type="dxa"/>
              <w:left w:w="120" w:type="dxa"/>
              <w:bottom w:w="60" w:type="dxa"/>
              <w:right w:w="120" w:type="dxa"/>
            </w:tcMar>
            <w:vAlign w:val="center"/>
          </w:tcPr>
          <w:p w14:paraId="7A8EE0A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rightChars="0"/>
              <w:jc w:val="center"/>
              <w:rPr>
                <w:rFonts w:hint="eastAsia" w:ascii="宋体" w:hAnsi="宋体" w:eastAsia="宋体" w:cs="宋体"/>
                <w:b/>
                <w:bCs/>
                <w:i w:val="0"/>
                <w:iCs w:val="0"/>
                <w:caps w:val="0"/>
                <w:color w:val="auto"/>
                <w:spacing w:val="0"/>
                <w:sz w:val="24"/>
                <w:szCs w:val="24"/>
                <w:lang w:val="en-US" w:eastAsia="zh-CN"/>
              </w:rPr>
            </w:pPr>
            <w:r>
              <w:rPr>
                <w:rFonts w:hint="eastAsia" w:ascii="宋体" w:hAnsi="宋体" w:eastAsia="宋体" w:cs="宋体"/>
                <w:b/>
                <w:bCs/>
                <w:i w:val="0"/>
                <w:iCs w:val="0"/>
                <w:caps w:val="0"/>
                <w:color w:val="auto"/>
                <w:spacing w:val="0"/>
                <w:sz w:val="24"/>
                <w:szCs w:val="24"/>
                <w:lang w:val="en-US" w:eastAsia="zh-CN"/>
              </w:rPr>
              <w:t>报价产品的技术、服务响应情况</w:t>
            </w:r>
          </w:p>
        </w:tc>
        <w:tc>
          <w:tcPr>
            <w:tcW w:w="0" w:type="auto"/>
            <w:shd w:val="clear" w:color="auto" w:fill="FFFFFF"/>
            <w:noWrap w:val="0"/>
            <w:tcMar>
              <w:top w:w="60" w:type="dxa"/>
              <w:left w:w="120" w:type="dxa"/>
              <w:bottom w:w="60" w:type="dxa"/>
              <w:right w:w="120" w:type="dxa"/>
            </w:tcMar>
            <w:vAlign w:val="center"/>
          </w:tcPr>
          <w:p w14:paraId="0C9E8AE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bCs/>
                <w:i w:val="0"/>
                <w:iCs w:val="0"/>
                <w:caps w:val="0"/>
                <w:color w:val="auto"/>
                <w:spacing w:val="0"/>
                <w:sz w:val="24"/>
                <w:szCs w:val="24"/>
                <w:lang w:val="en-US" w:eastAsia="zh-CN"/>
              </w:rPr>
            </w:pPr>
            <w:r>
              <w:rPr>
                <w:rFonts w:hint="eastAsia" w:ascii="宋体" w:hAnsi="宋体" w:eastAsia="宋体" w:cs="宋体"/>
                <w:b/>
                <w:bCs/>
                <w:i w:val="0"/>
                <w:iCs w:val="0"/>
                <w:caps w:val="0"/>
                <w:color w:val="auto"/>
                <w:spacing w:val="0"/>
                <w:sz w:val="24"/>
                <w:szCs w:val="24"/>
                <w:lang w:val="en-US" w:eastAsia="zh-CN"/>
              </w:rPr>
              <w:t>是否满足要求</w:t>
            </w:r>
          </w:p>
        </w:tc>
        <w:tc>
          <w:tcPr>
            <w:tcW w:w="0" w:type="auto"/>
            <w:shd w:val="clear" w:color="auto" w:fill="FFFFFF"/>
            <w:noWrap w:val="0"/>
            <w:tcMar>
              <w:top w:w="60" w:type="dxa"/>
              <w:left w:w="120" w:type="dxa"/>
              <w:bottom w:w="60" w:type="dxa"/>
              <w:right w:w="120" w:type="dxa"/>
            </w:tcMar>
            <w:vAlign w:val="center"/>
          </w:tcPr>
          <w:p w14:paraId="27FB09B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bCs/>
                <w:i w:val="0"/>
                <w:iCs w:val="0"/>
                <w:caps w:val="0"/>
                <w:color w:val="auto"/>
                <w:spacing w:val="0"/>
                <w:sz w:val="24"/>
                <w:szCs w:val="24"/>
                <w:lang w:val="en-US" w:eastAsia="zh-CN"/>
              </w:rPr>
            </w:pPr>
            <w:r>
              <w:rPr>
                <w:rFonts w:hint="eastAsia" w:ascii="宋体" w:hAnsi="宋体" w:eastAsia="宋体" w:cs="宋体"/>
                <w:b/>
                <w:bCs/>
                <w:i w:val="0"/>
                <w:iCs w:val="0"/>
                <w:caps w:val="0"/>
                <w:color w:val="auto"/>
                <w:spacing w:val="0"/>
                <w:sz w:val="24"/>
                <w:szCs w:val="24"/>
                <w:lang w:val="en-US" w:eastAsia="zh-CN"/>
              </w:rPr>
              <w:t>响应报价（元）</w:t>
            </w:r>
          </w:p>
        </w:tc>
      </w:tr>
      <w:tr w14:paraId="14F2B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97" w:hRule="atLeast"/>
          <w:jc w:val="center"/>
        </w:trPr>
        <w:tc>
          <w:tcPr>
            <w:tcW w:w="0" w:type="auto"/>
            <w:shd w:val="clear" w:color="auto" w:fill="FFFFFF"/>
            <w:noWrap w:val="0"/>
            <w:tcMar>
              <w:top w:w="60" w:type="dxa"/>
              <w:left w:w="120" w:type="dxa"/>
              <w:bottom w:w="60" w:type="dxa"/>
              <w:right w:w="120" w:type="dxa"/>
            </w:tcMar>
            <w:vAlign w:val="center"/>
          </w:tcPr>
          <w:p w14:paraId="2A5E1B6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val="0"/>
                <w:bCs w:val="0"/>
                <w:i w:val="0"/>
                <w:iCs w:val="0"/>
                <w:caps w:val="0"/>
                <w:color w:val="auto"/>
                <w:spacing w:val="0"/>
                <w:sz w:val="24"/>
                <w:szCs w:val="24"/>
                <w:lang w:val="en-US" w:eastAsia="zh-CN"/>
              </w:rPr>
            </w:pPr>
            <w:r>
              <w:rPr>
                <w:rFonts w:hint="eastAsia" w:ascii="宋体" w:hAnsi="宋体" w:eastAsia="宋体" w:cs="宋体"/>
                <w:b w:val="0"/>
                <w:bCs w:val="0"/>
                <w:i w:val="0"/>
                <w:iCs w:val="0"/>
                <w:caps w:val="0"/>
                <w:color w:val="auto"/>
                <w:spacing w:val="0"/>
                <w:sz w:val="24"/>
                <w:szCs w:val="24"/>
                <w:lang w:val="en-US" w:eastAsia="zh-CN"/>
              </w:rPr>
              <w:t>1</w:t>
            </w:r>
          </w:p>
        </w:tc>
        <w:tc>
          <w:tcPr>
            <w:tcW w:w="0" w:type="auto"/>
            <w:shd w:val="clear" w:color="auto" w:fill="FFFFFF"/>
            <w:noWrap w:val="0"/>
            <w:tcMar>
              <w:top w:w="60" w:type="dxa"/>
              <w:left w:w="120" w:type="dxa"/>
              <w:bottom w:w="60" w:type="dxa"/>
              <w:right w:w="120" w:type="dxa"/>
            </w:tcMar>
            <w:vAlign w:val="center"/>
          </w:tcPr>
          <w:p w14:paraId="36A1AAA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Style w:val="12"/>
                <w:rFonts w:hint="eastAsia" w:ascii="宋体" w:hAnsi="宋体" w:eastAsia="宋体" w:cs="宋体"/>
                <w:b w:val="0"/>
                <w:bCs w:val="0"/>
                <w:i w:val="0"/>
                <w:iCs w:val="0"/>
                <w:caps w:val="0"/>
                <w:color w:val="auto"/>
                <w:spacing w:val="0"/>
                <w:sz w:val="24"/>
                <w:szCs w:val="24"/>
                <w:lang w:eastAsia="zh-CN"/>
              </w:rPr>
            </w:pPr>
            <w:r>
              <w:rPr>
                <w:rStyle w:val="12"/>
                <w:rFonts w:hint="eastAsia" w:ascii="宋体" w:hAnsi="宋体" w:eastAsia="宋体" w:cs="宋体"/>
                <w:b w:val="0"/>
                <w:bCs w:val="0"/>
                <w:i w:val="0"/>
                <w:iCs w:val="0"/>
                <w:caps w:val="0"/>
                <w:color w:val="auto"/>
                <w:spacing w:val="0"/>
                <w:sz w:val="24"/>
                <w:szCs w:val="24"/>
                <w:lang w:eastAsia="zh-CN"/>
              </w:rPr>
              <w:t>仁化县人民法院法警羁押室门控系统升级采购项目</w:t>
            </w:r>
          </w:p>
        </w:tc>
        <w:tc>
          <w:tcPr>
            <w:tcW w:w="0" w:type="auto"/>
            <w:shd w:val="clear" w:color="auto" w:fill="FFFFFF"/>
            <w:noWrap w:val="0"/>
            <w:tcMar>
              <w:top w:w="60" w:type="dxa"/>
              <w:left w:w="120" w:type="dxa"/>
              <w:bottom w:w="60" w:type="dxa"/>
              <w:right w:w="120" w:type="dxa"/>
            </w:tcMar>
            <w:vAlign w:val="center"/>
          </w:tcPr>
          <w:p w14:paraId="3CD2040D">
            <w:pPr>
              <w:spacing w:line="360" w:lineRule="auto"/>
              <w:jc w:val="center"/>
              <w:rPr>
                <w:rFonts w:hint="eastAsia" w:ascii="宋体" w:hAnsi="宋体" w:eastAsia="宋体" w:cs="宋体"/>
                <w:b w:val="0"/>
                <w:bCs w:val="0"/>
                <w:i w:val="0"/>
                <w:iCs w:val="0"/>
                <w:caps w:val="0"/>
                <w:color w:val="auto"/>
                <w:spacing w:val="0"/>
                <w:sz w:val="24"/>
                <w:szCs w:val="24"/>
                <w:lang w:val="en-US" w:eastAsia="zh-CN"/>
              </w:rPr>
            </w:pPr>
            <w:r>
              <w:rPr>
                <w:rFonts w:hint="eastAsia" w:ascii="宋体" w:hAnsi="宋体" w:eastAsia="宋体" w:cs="宋体"/>
                <w:b w:val="0"/>
                <w:bCs w:val="0"/>
                <w:i w:val="0"/>
                <w:iCs w:val="0"/>
                <w:caps w:val="0"/>
                <w:color w:val="auto"/>
                <w:spacing w:val="0"/>
                <w:sz w:val="24"/>
                <w:szCs w:val="24"/>
                <w:lang w:val="en-US" w:eastAsia="zh-CN"/>
              </w:rPr>
              <w:t>详见《采购需求》</w:t>
            </w:r>
          </w:p>
        </w:tc>
        <w:tc>
          <w:tcPr>
            <w:tcW w:w="0" w:type="auto"/>
            <w:shd w:val="clear" w:color="auto" w:fill="FFFFFF"/>
            <w:noWrap w:val="0"/>
            <w:tcMar>
              <w:top w:w="60" w:type="dxa"/>
              <w:left w:w="120" w:type="dxa"/>
              <w:bottom w:w="60" w:type="dxa"/>
              <w:right w:w="120" w:type="dxa"/>
            </w:tcMar>
            <w:vAlign w:val="center"/>
          </w:tcPr>
          <w:p w14:paraId="0AC910AF">
            <w:pPr>
              <w:spacing w:line="360" w:lineRule="auto"/>
              <w:jc w:val="center"/>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完全响应</w:t>
            </w:r>
          </w:p>
        </w:tc>
        <w:tc>
          <w:tcPr>
            <w:tcW w:w="0" w:type="auto"/>
            <w:shd w:val="clear" w:color="auto" w:fill="FFFFFF"/>
            <w:noWrap w:val="0"/>
            <w:tcMar>
              <w:top w:w="60" w:type="dxa"/>
              <w:left w:w="120" w:type="dxa"/>
              <w:bottom w:w="60" w:type="dxa"/>
              <w:right w:w="120" w:type="dxa"/>
            </w:tcMar>
            <w:vAlign w:val="center"/>
          </w:tcPr>
          <w:p w14:paraId="0A6673E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val="0"/>
                <w:bCs w:val="0"/>
                <w:i w:val="0"/>
                <w:iCs w:val="0"/>
                <w:caps w:val="0"/>
                <w:color w:val="auto"/>
                <w:spacing w:val="0"/>
                <w:sz w:val="24"/>
                <w:szCs w:val="24"/>
                <w:lang w:val="en-US" w:eastAsia="zh-CN"/>
              </w:rPr>
            </w:pPr>
            <w:r>
              <w:rPr>
                <w:rFonts w:hint="eastAsia" w:ascii="宋体" w:hAnsi="宋体" w:eastAsia="宋体" w:cs="宋体"/>
                <w:color w:val="auto"/>
                <w:sz w:val="24"/>
                <w:lang w:val="en-US" w:eastAsia="zh-CN"/>
              </w:rPr>
              <w:t>满足</w:t>
            </w:r>
          </w:p>
        </w:tc>
        <w:tc>
          <w:tcPr>
            <w:tcW w:w="0" w:type="auto"/>
            <w:shd w:val="clear" w:color="auto" w:fill="FFFFFF"/>
            <w:noWrap w:val="0"/>
            <w:tcMar>
              <w:top w:w="60" w:type="dxa"/>
              <w:left w:w="120" w:type="dxa"/>
              <w:bottom w:w="60" w:type="dxa"/>
              <w:right w:w="120" w:type="dxa"/>
            </w:tcMar>
            <w:vAlign w:val="center"/>
          </w:tcPr>
          <w:p w14:paraId="5636E11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leftChars="0" w:right="0"/>
              <w:jc w:val="center"/>
              <w:rPr>
                <w:rFonts w:hint="eastAsia" w:ascii="宋体" w:hAnsi="宋体" w:eastAsia="宋体" w:cs="宋体"/>
                <w:b w:val="0"/>
                <w:bCs w:val="0"/>
                <w:i w:val="0"/>
                <w:iCs w:val="0"/>
                <w:caps w:val="0"/>
                <w:color w:val="auto"/>
                <w:spacing w:val="0"/>
                <w:sz w:val="24"/>
                <w:szCs w:val="24"/>
                <w:lang w:val="en-US" w:eastAsia="zh-CN"/>
              </w:rPr>
            </w:pPr>
            <w:r>
              <w:rPr>
                <w:rFonts w:hint="eastAsia" w:ascii="宋体" w:hAnsi="宋体" w:eastAsia="宋体" w:cs="宋体"/>
                <w:color w:val="auto"/>
                <w:sz w:val="24"/>
                <w:lang w:val="en-US" w:eastAsia="zh-CN"/>
              </w:rPr>
              <w:t>¥</w:t>
            </w:r>
          </w:p>
        </w:tc>
      </w:tr>
    </w:tbl>
    <w:p w14:paraId="47A36164">
      <w:pPr>
        <w:rPr>
          <w:rFonts w:hint="eastAsia" w:ascii="宋体" w:hAnsi="宋体" w:eastAsia="宋体" w:cs="宋体"/>
          <w:color w:val="auto"/>
          <w:kern w:val="2"/>
          <w:sz w:val="24"/>
          <w:szCs w:val="24"/>
          <w:highlight w:val="none"/>
          <w:lang w:val="en-US" w:eastAsia="zh-CN" w:bidi="ar-SA"/>
        </w:rPr>
      </w:pPr>
    </w:p>
    <w:p w14:paraId="2EAE81A7">
      <w:pPr>
        <w:rPr>
          <w:rFonts w:hint="eastAsia" w:ascii="宋体" w:hAnsi="宋体" w:eastAsia="宋体" w:cs="宋体"/>
          <w:color w:val="auto"/>
          <w:kern w:val="2"/>
          <w:sz w:val="24"/>
          <w:szCs w:val="24"/>
          <w:highlight w:val="none"/>
          <w:lang w:val="en-US" w:eastAsia="zh-CN" w:bidi="ar-SA"/>
        </w:rPr>
      </w:pPr>
    </w:p>
    <w:p w14:paraId="43D99B54">
      <w:pPr>
        <w:rPr>
          <w:rFonts w:hint="eastAsia" w:ascii="宋体" w:hAnsi="宋体" w:eastAsia="宋体" w:cs="宋体"/>
          <w:color w:val="auto"/>
          <w:kern w:val="2"/>
          <w:sz w:val="24"/>
          <w:szCs w:val="24"/>
          <w:highlight w:val="none"/>
          <w:lang w:val="en-US" w:eastAsia="zh-CN" w:bidi="ar-SA"/>
        </w:rPr>
      </w:pPr>
    </w:p>
    <w:p w14:paraId="09E1861F">
      <w:pPr>
        <w:rPr>
          <w:rFonts w:hint="eastAsia" w:ascii="宋体" w:hAnsi="宋体" w:eastAsia="宋体" w:cs="宋体"/>
          <w:color w:val="auto"/>
          <w:kern w:val="2"/>
          <w:sz w:val="24"/>
          <w:szCs w:val="24"/>
          <w:highlight w:val="none"/>
          <w:lang w:val="en-US" w:eastAsia="zh-CN" w:bidi="ar-SA"/>
        </w:rPr>
      </w:pPr>
    </w:p>
    <w:p w14:paraId="000A58DA">
      <w:pPr>
        <w:pStyle w:val="15"/>
        <w:ind w:left="0" w:leftChars="0" w:firstLine="0" w:firstLineChars="0"/>
        <w:rPr>
          <w:rFonts w:hint="eastAsia" w:ascii="宋体" w:hAnsi="宋体" w:eastAsia="宋体" w:cs="宋体"/>
          <w:sz w:val="21"/>
          <w:szCs w:val="21"/>
          <w:lang w:val="en-GB"/>
        </w:rPr>
      </w:pPr>
    </w:p>
    <w:p w14:paraId="69243670">
      <w:pPr>
        <w:adjustRightInd w:val="0"/>
        <w:snapToGrid w:val="0"/>
        <w:spacing w:line="360" w:lineRule="auto"/>
        <w:ind w:right="105" w:rightChars="50" w:firstLine="544" w:firstLineChars="227"/>
        <w:jc w:val="right"/>
        <w:rPr>
          <w:rFonts w:hint="eastAsia" w:ascii="宋体" w:hAnsi="宋体" w:eastAsia="宋体" w:cs="宋体"/>
          <w:sz w:val="24"/>
          <w:szCs w:val="24"/>
          <w:u w:val="single"/>
        </w:rPr>
      </w:pPr>
      <w:r>
        <w:rPr>
          <w:rFonts w:hint="eastAsia" w:ascii="宋体" w:hAnsi="宋体" w:eastAsia="宋体" w:cs="宋体"/>
          <w:sz w:val="24"/>
          <w:szCs w:val="24"/>
          <w:lang w:val="en-US" w:eastAsia="zh-CN"/>
        </w:rPr>
        <w:t>xxxx有限公司</w:t>
      </w:r>
      <w:r>
        <w:rPr>
          <w:rFonts w:hint="eastAsia" w:ascii="宋体" w:hAnsi="宋体" w:eastAsia="宋体" w:cs="宋体"/>
          <w:sz w:val="24"/>
          <w:szCs w:val="24"/>
        </w:rPr>
        <w:t>(单位公章)</w:t>
      </w:r>
      <w:r>
        <w:rPr>
          <w:rFonts w:hint="eastAsia" w:ascii="宋体" w:hAnsi="宋体" w:eastAsia="宋体" w:cs="宋体"/>
          <w:sz w:val="24"/>
          <w:szCs w:val="24"/>
          <w:u w:val="single"/>
        </w:rPr>
        <w:t xml:space="preserve">               </w:t>
      </w:r>
    </w:p>
    <w:p w14:paraId="3D7DE54A">
      <w:pPr>
        <w:jc w:val="right"/>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lang w:val="en-US" w:eastAsia="zh-CN"/>
        </w:rPr>
        <w:t>2026</w:t>
      </w:r>
      <w:r>
        <w:rPr>
          <w:rFonts w:hint="eastAsia" w:ascii="宋体" w:hAnsi="宋体" w:eastAsia="宋体" w:cs="宋体"/>
          <w:sz w:val="24"/>
          <w:szCs w:val="24"/>
        </w:rPr>
        <w:t>年</w:t>
      </w:r>
      <w:r>
        <w:rPr>
          <w:rFonts w:hint="eastAsia" w:ascii="宋体" w:hAnsi="宋体" w:eastAsia="宋体" w:cs="宋体"/>
          <w:sz w:val="24"/>
          <w:szCs w:val="24"/>
          <w:lang w:val="en-US" w:eastAsia="zh-CN"/>
        </w:rPr>
        <w:t>06</w:t>
      </w:r>
      <w:r>
        <w:rPr>
          <w:rFonts w:hint="eastAsia" w:ascii="宋体" w:hAnsi="宋体" w:eastAsia="宋体" w:cs="宋体"/>
          <w:sz w:val="24"/>
          <w:szCs w:val="24"/>
        </w:rPr>
        <w:t>月</w:t>
      </w:r>
      <w:r>
        <w:rPr>
          <w:rFonts w:hint="eastAsia" w:ascii="宋体" w:hAnsi="宋体" w:eastAsia="宋体" w:cs="宋体"/>
          <w:sz w:val="24"/>
          <w:szCs w:val="24"/>
          <w:lang w:val="en-US" w:eastAsia="zh-CN"/>
        </w:rPr>
        <w:t>23</w:t>
      </w:r>
      <w:bookmarkStart w:id="8" w:name="_GoBack"/>
      <w:bookmarkEnd w:id="8"/>
      <w:r>
        <w:rPr>
          <w:rFonts w:hint="eastAsia" w:ascii="宋体" w:hAnsi="宋体" w:eastAsia="宋体" w:cs="宋体"/>
          <w:sz w:val="24"/>
          <w:szCs w:val="24"/>
        </w:rPr>
        <w:t>日</w:t>
      </w:r>
    </w:p>
    <w:p w14:paraId="44F61715">
      <w:pPr>
        <w:jc w:val="right"/>
        <w:rPr>
          <w:rFonts w:hint="eastAsia" w:ascii="宋体" w:hAnsi="宋体" w:eastAsia="宋体" w:cs="宋体"/>
          <w:szCs w:val="21"/>
        </w:rPr>
      </w:pPr>
    </w:p>
    <w:p w14:paraId="4D85811B">
      <w:pPr>
        <w:jc w:val="right"/>
        <w:rPr>
          <w:rFonts w:hint="eastAsia" w:ascii="宋体" w:hAnsi="宋体" w:eastAsia="宋体" w:cs="宋体"/>
          <w:szCs w:val="21"/>
        </w:rPr>
      </w:pPr>
    </w:p>
    <w:p w14:paraId="4D77E628">
      <w:pPr>
        <w:jc w:val="right"/>
        <w:rPr>
          <w:rFonts w:hint="eastAsia" w:ascii="宋体" w:hAnsi="宋体" w:eastAsia="宋体" w:cs="宋体"/>
          <w:szCs w:val="21"/>
          <w:lang w:val="en-US" w:eastAsia="zh-CN"/>
        </w:rPr>
      </w:pPr>
    </w:p>
    <w:p w14:paraId="78550E12">
      <w:pPr>
        <w:jc w:val="center"/>
        <w:rPr>
          <w:rFonts w:hint="eastAsia" w:ascii="宋体" w:hAnsi="宋体" w:eastAsia="宋体" w:cs="宋体"/>
          <w:b/>
          <w:bCs/>
          <w:sz w:val="44"/>
          <w:szCs w:val="44"/>
        </w:rPr>
      </w:pPr>
    </w:p>
    <w:p w14:paraId="6C2077AD">
      <w:pPr>
        <w:jc w:val="center"/>
        <w:rPr>
          <w:rFonts w:hint="eastAsia" w:ascii="宋体" w:hAnsi="宋体" w:eastAsia="宋体" w:cs="宋体"/>
          <w:b/>
          <w:bCs/>
          <w:sz w:val="44"/>
          <w:szCs w:val="44"/>
        </w:rPr>
      </w:pPr>
    </w:p>
    <w:p w14:paraId="068FE9C8">
      <w:pPr>
        <w:jc w:val="center"/>
        <w:rPr>
          <w:rFonts w:hint="eastAsia" w:ascii="宋体" w:hAnsi="宋体" w:eastAsia="宋体" w:cs="宋体"/>
          <w:b/>
          <w:bCs/>
          <w:sz w:val="44"/>
          <w:szCs w:val="44"/>
        </w:rPr>
      </w:pPr>
    </w:p>
    <w:p w14:paraId="05F3A2C3">
      <w:pPr>
        <w:jc w:val="center"/>
        <w:rPr>
          <w:rFonts w:hint="eastAsia" w:ascii="宋体" w:hAnsi="宋体" w:eastAsia="宋体" w:cs="宋体"/>
          <w:b/>
          <w:bCs/>
          <w:sz w:val="44"/>
          <w:szCs w:val="44"/>
        </w:rPr>
      </w:pPr>
    </w:p>
    <w:p w14:paraId="4B9A3D16">
      <w:pPr>
        <w:jc w:val="center"/>
        <w:rPr>
          <w:rFonts w:hint="eastAsia" w:ascii="宋体" w:hAnsi="宋体" w:eastAsia="宋体" w:cs="宋体"/>
          <w:b/>
          <w:bCs/>
          <w:sz w:val="44"/>
          <w:szCs w:val="44"/>
        </w:rPr>
      </w:pPr>
    </w:p>
    <w:p w14:paraId="2E44E9D7">
      <w:pPr>
        <w:jc w:val="center"/>
        <w:rPr>
          <w:rFonts w:hint="eastAsia" w:ascii="宋体" w:hAnsi="宋体" w:eastAsia="宋体" w:cs="宋体"/>
          <w:b/>
          <w:bCs/>
          <w:sz w:val="44"/>
          <w:szCs w:val="44"/>
        </w:rPr>
      </w:pPr>
    </w:p>
    <w:p w14:paraId="5421D2B8">
      <w:pPr>
        <w:jc w:val="center"/>
        <w:rPr>
          <w:rFonts w:hint="eastAsia" w:ascii="宋体" w:hAnsi="宋体" w:eastAsia="宋体" w:cs="宋体"/>
          <w:b/>
          <w:bCs/>
          <w:sz w:val="44"/>
          <w:szCs w:val="44"/>
        </w:rPr>
      </w:pPr>
    </w:p>
    <w:p w14:paraId="7AD72A25">
      <w:pPr>
        <w:jc w:val="center"/>
        <w:rPr>
          <w:rFonts w:hint="eastAsia" w:ascii="宋体" w:hAnsi="宋体" w:eastAsia="宋体" w:cs="宋体"/>
          <w:b/>
          <w:bCs/>
          <w:sz w:val="44"/>
          <w:szCs w:val="44"/>
        </w:rPr>
      </w:pPr>
    </w:p>
    <w:p w14:paraId="0C8A05C5">
      <w:pPr>
        <w:jc w:val="center"/>
        <w:rPr>
          <w:rFonts w:hint="eastAsia" w:ascii="宋体" w:hAnsi="宋体" w:eastAsia="宋体" w:cs="宋体"/>
          <w:b/>
          <w:bCs/>
          <w:sz w:val="44"/>
          <w:szCs w:val="44"/>
        </w:rPr>
      </w:pPr>
    </w:p>
    <w:p w14:paraId="5636093F">
      <w:pPr>
        <w:jc w:val="both"/>
        <w:rPr>
          <w:rFonts w:hint="eastAsia" w:ascii="宋体" w:hAnsi="宋体" w:eastAsia="宋体" w:cs="宋体"/>
          <w:b/>
          <w:bCs/>
          <w:sz w:val="44"/>
          <w:szCs w:val="44"/>
        </w:rPr>
      </w:pPr>
    </w:p>
    <w:p w14:paraId="2B2EFFED">
      <w:p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营业执照</w:t>
      </w:r>
    </w:p>
    <w:p w14:paraId="165B8277">
      <w:pPr>
        <w:jc w:val="center"/>
        <w:rPr>
          <w:rFonts w:hint="eastAsia" w:ascii="宋体" w:hAnsi="宋体" w:eastAsia="宋体" w:cs="宋体"/>
          <w:b/>
          <w:bCs/>
          <w:sz w:val="44"/>
          <w:szCs w:val="44"/>
          <w:lang w:val="en-US" w:eastAsia="zh-CN"/>
        </w:rPr>
      </w:pPr>
    </w:p>
    <w:p w14:paraId="6B144D2C">
      <w:pPr>
        <w:jc w:val="center"/>
        <w:rPr>
          <w:rFonts w:hint="eastAsia" w:ascii="宋体" w:hAnsi="宋体" w:eastAsia="宋体" w:cs="宋体"/>
          <w:b/>
          <w:bCs/>
          <w:sz w:val="44"/>
          <w:szCs w:val="44"/>
          <w:lang w:val="en-US" w:eastAsia="zh-CN"/>
        </w:rPr>
      </w:pPr>
    </w:p>
    <w:p w14:paraId="29A03498">
      <w:pPr>
        <w:jc w:val="center"/>
        <w:rPr>
          <w:rFonts w:hint="eastAsia" w:ascii="宋体" w:hAnsi="宋体" w:eastAsia="宋体" w:cs="宋体"/>
          <w:b/>
          <w:bCs/>
          <w:sz w:val="44"/>
          <w:szCs w:val="44"/>
          <w:lang w:val="en-US" w:eastAsia="zh-CN"/>
        </w:rPr>
      </w:pPr>
    </w:p>
    <w:p w14:paraId="290CEC9C">
      <w:pPr>
        <w:jc w:val="center"/>
        <w:rPr>
          <w:rFonts w:hint="eastAsia" w:ascii="宋体" w:hAnsi="宋体" w:eastAsia="宋体" w:cs="宋体"/>
          <w:b/>
          <w:bCs/>
          <w:sz w:val="44"/>
          <w:szCs w:val="44"/>
          <w:lang w:val="en-US" w:eastAsia="zh-CN"/>
        </w:rPr>
      </w:pPr>
    </w:p>
    <w:p w14:paraId="223364CD">
      <w:pPr>
        <w:jc w:val="center"/>
        <w:rPr>
          <w:rFonts w:hint="eastAsia" w:ascii="宋体" w:hAnsi="宋体" w:eastAsia="宋体" w:cs="宋体"/>
          <w:b/>
          <w:bCs/>
          <w:sz w:val="44"/>
          <w:szCs w:val="44"/>
          <w:lang w:val="en-US" w:eastAsia="zh-CN"/>
        </w:rPr>
      </w:pPr>
    </w:p>
    <w:p w14:paraId="0F38773E">
      <w:pPr>
        <w:jc w:val="center"/>
        <w:rPr>
          <w:rFonts w:hint="eastAsia" w:ascii="宋体" w:hAnsi="宋体" w:eastAsia="宋体" w:cs="宋体"/>
          <w:b/>
          <w:bCs/>
          <w:sz w:val="44"/>
          <w:szCs w:val="44"/>
          <w:lang w:val="en-US" w:eastAsia="zh-CN"/>
        </w:rPr>
      </w:pPr>
    </w:p>
    <w:p w14:paraId="4EF7F3A1">
      <w:pPr>
        <w:jc w:val="center"/>
        <w:rPr>
          <w:rFonts w:hint="eastAsia" w:ascii="宋体" w:hAnsi="宋体" w:eastAsia="宋体" w:cs="宋体"/>
          <w:b/>
          <w:bCs/>
          <w:sz w:val="44"/>
          <w:szCs w:val="44"/>
          <w:lang w:val="en-US" w:eastAsia="zh-CN"/>
        </w:rPr>
      </w:pPr>
    </w:p>
    <w:p w14:paraId="671091D1">
      <w:pPr>
        <w:jc w:val="center"/>
        <w:rPr>
          <w:rFonts w:hint="eastAsia" w:ascii="宋体" w:hAnsi="宋体" w:eastAsia="宋体" w:cs="宋体"/>
          <w:b/>
          <w:bCs/>
          <w:sz w:val="44"/>
          <w:szCs w:val="44"/>
          <w:lang w:val="en-US" w:eastAsia="zh-CN"/>
        </w:rPr>
      </w:pPr>
    </w:p>
    <w:p w14:paraId="11D200D3">
      <w:pPr>
        <w:jc w:val="center"/>
        <w:rPr>
          <w:rFonts w:hint="eastAsia" w:ascii="宋体" w:hAnsi="宋体" w:eastAsia="宋体" w:cs="宋体"/>
          <w:b/>
          <w:bCs/>
          <w:sz w:val="44"/>
          <w:szCs w:val="44"/>
          <w:lang w:val="en-US" w:eastAsia="zh-CN"/>
        </w:rPr>
      </w:pPr>
    </w:p>
    <w:p w14:paraId="4894027A">
      <w:pPr>
        <w:jc w:val="center"/>
        <w:rPr>
          <w:rFonts w:hint="eastAsia" w:ascii="宋体" w:hAnsi="宋体" w:eastAsia="宋体" w:cs="宋体"/>
          <w:b/>
          <w:bCs/>
          <w:sz w:val="44"/>
          <w:szCs w:val="44"/>
          <w:lang w:val="en-US" w:eastAsia="zh-CN"/>
        </w:rPr>
      </w:pPr>
    </w:p>
    <w:p w14:paraId="029050ED">
      <w:pPr>
        <w:jc w:val="center"/>
        <w:rPr>
          <w:rFonts w:hint="eastAsia" w:ascii="宋体" w:hAnsi="宋体" w:eastAsia="宋体" w:cs="宋体"/>
          <w:b/>
          <w:bCs/>
          <w:sz w:val="44"/>
          <w:szCs w:val="44"/>
          <w:lang w:val="en-US" w:eastAsia="zh-CN"/>
        </w:rPr>
      </w:pPr>
    </w:p>
    <w:p w14:paraId="53FBAE82">
      <w:pPr>
        <w:jc w:val="center"/>
        <w:rPr>
          <w:rFonts w:hint="eastAsia" w:ascii="宋体" w:hAnsi="宋体" w:eastAsia="宋体" w:cs="宋体"/>
          <w:b/>
          <w:bCs/>
          <w:sz w:val="44"/>
          <w:szCs w:val="44"/>
          <w:lang w:val="en-US" w:eastAsia="zh-CN"/>
        </w:rPr>
      </w:pPr>
    </w:p>
    <w:p w14:paraId="53D14240">
      <w:pPr>
        <w:jc w:val="center"/>
        <w:rPr>
          <w:rFonts w:hint="eastAsia" w:ascii="宋体" w:hAnsi="宋体" w:eastAsia="宋体" w:cs="宋体"/>
          <w:b/>
          <w:bCs/>
          <w:sz w:val="44"/>
          <w:szCs w:val="44"/>
          <w:lang w:val="en-US" w:eastAsia="zh-CN"/>
        </w:rPr>
      </w:pPr>
    </w:p>
    <w:p w14:paraId="1A6FA0C1">
      <w:pPr>
        <w:jc w:val="center"/>
        <w:rPr>
          <w:rFonts w:hint="eastAsia" w:ascii="宋体" w:hAnsi="宋体" w:eastAsia="宋体" w:cs="宋体"/>
          <w:b/>
          <w:bCs/>
          <w:sz w:val="44"/>
          <w:szCs w:val="44"/>
          <w:lang w:val="en-US" w:eastAsia="zh-CN"/>
        </w:rPr>
      </w:pPr>
    </w:p>
    <w:p w14:paraId="7CCEF930">
      <w:pPr>
        <w:jc w:val="center"/>
        <w:rPr>
          <w:rFonts w:hint="eastAsia" w:ascii="宋体" w:hAnsi="宋体" w:eastAsia="宋体" w:cs="宋体"/>
          <w:b/>
          <w:bCs/>
          <w:sz w:val="44"/>
          <w:szCs w:val="44"/>
          <w:lang w:val="en-US" w:eastAsia="zh-CN"/>
        </w:rPr>
      </w:pPr>
    </w:p>
    <w:p w14:paraId="49037A8D">
      <w:pPr>
        <w:jc w:val="center"/>
        <w:rPr>
          <w:rFonts w:hint="eastAsia" w:ascii="宋体" w:hAnsi="宋体" w:eastAsia="宋体" w:cs="宋体"/>
          <w:b/>
          <w:bCs/>
          <w:sz w:val="44"/>
          <w:szCs w:val="44"/>
          <w:lang w:val="en-US" w:eastAsia="zh-CN"/>
        </w:rPr>
      </w:pPr>
    </w:p>
    <w:p w14:paraId="6422D39A">
      <w:pPr>
        <w:jc w:val="center"/>
        <w:rPr>
          <w:rFonts w:hint="eastAsia" w:ascii="宋体" w:hAnsi="宋体" w:eastAsia="宋体" w:cs="宋体"/>
          <w:b/>
          <w:bCs/>
          <w:sz w:val="44"/>
          <w:szCs w:val="44"/>
          <w:lang w:val="en-US" w:eastAsia="zh-CN"/>
        </w:rPr>
      </w:pPr>
    </w:p>
    <w:p w14:paraId="37AA8453">
      <w:pPr>
        <w:jc w:val="center"/>
        <w:rPr>
          <w:rFonts w:hint="eastAsia" w:ascii="宋体" w:hAnsi="宋体" w:eastAsia="宋体" w:cs="宋体"/>
          <w:b/>
          <w:bCs/>
          <w:sz w:val="44"/>
          <w:szCs w:val="44"/>
          <w:lang w:val="en-US" w:eastAsia="zh-CN"/>
        </w:rPr>
      </w:pPr>
    </w:p>
    <w:p w14:paraId="4CD7D89F">
      <w:pPr>
        <w:jc w:val="center"/>
        <w:rPr>
          <w:rFonts w:hint="eastAsia" w:ascii="宋体" w:hAnsi="宋体" w:eastAsia="宋体" w:cs="宋体"/>
          <w:b/>
          <w:bCs/>
          <w:sz w:val="44"/>
          <w:szCs w:val="44"/>
          <w:lang w:val="en-US" w:eastAsia="zh-CN"/>
        </w:rPr>
      </w:pPr>
    </w:p>
    <w:p w14:paraId="64A0D837">
      <w:pPr>
        <w:jc w:val="center"/>
        <w:rPr>
          <w:rFonts w:hint="eastAsia" w:ascii="宋体" w:hAnsi="宋体" w:eastAsia="宋体" w:cs="宋体"/>
          <w:b/>
          <w:bCs/>
          <w:sz w:val="44"/>
          <w:szCs w:val="44"/>
          <w:lang w:val="en-US" w:eastAsia="zh-CN"/>
        </w:rPr>
      </w:pPr>
    </w:p>
    <w:p w14:paraId="2C07DADA">
      <w:pPr>
        <w:jc w:val="center"/>
        <w:rPr>
          <w:rFonts w:hint="eastAsia" w:ascii="宋体" w:hAnsi="宋体" w:eastAsia="宋体" w:cs="宋体"/>
          <w:b/>
          <w:bCs/>
          <w:sz w:val="44"/>
          <w:szCs w:val="44"/>
          <w:lang w:val="en-US" w:eastAsia="zh-CN"/>
        </w:rPr>
      </w:pPr>
    </w:p>
    <w:p w14:paraId="25B5D066">
      <w:pPr>
        <w:jc w:val="both"/>
        <w:rPr>
          <w:rFonts w:hint="eastAsia" w:ascii="宋体" w:hAnsi="宋体" w:eastAsia="宋体" w:cs="宋体"/>
          <w:b/>
          <w:bCs/>
          <w:sz w:val="44"/>
          <w:szCs w:val="44"/>
        </w:rPr>
      </w:pPr>
    </w:p>
    <w:p w14:paraId="14506AF3">
      <w:pPr>
        <w:spacing w:line="360" w:lineRule="auto"/>
        <w:jc w:val="center"/>
        <w:rPr>
          <w:rFonts w:hint="eastAsia" w:ascii="宋体" w:hAnsi="宋体" w:eastAsia="宋体" w:cs="宋体"/>
          <w:b/>
          <w:bCs/>
          <w:color w:val="auto"/>
          <w:sz w:val="32"/>
          <w:szCs w:val="32"/>
        </w:rPr>
      </w:pPr>
    </w:p>
    <w:p w14:paraId="1F581E16">
      <w:pPr>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仁化县人民法院法警羁押室门控系统升级采购项目采购需求</w:t>
      </w:r>
    </w:p>
    <w:p w14:paraId="1194F895">
      <w:pPr>
        <w:pStyle w:val="2"/>
        <w:rPr>
          <w:rFonts w:hint="eastAsia" w:ascii="宋体" w:hAnsi="宋体" w:eastAsia="宋体" w:cs="宋体"/>
        </w:rPr>
      </w:pPr>
    </w:p>
    <w:p w14:paraId="211412FD">
      <w:pPr>
        <w:spacing w:line="360" w:lineRule="auto"/>
        <w:rPr>
          <w:rFonts w:hint="eastAsia" w:ascii="宋体" w:hAnsi="宋体" w:eastAsia="宋体" w:cs="宋体"/>
          <w:b/>
          <w:bCs/>
          <w:sz w:val="21"/>
          <w:szCs w:val="21"/>
        </w:rPr>
      </w:pPr>
      <w:r>
        <w:rPr>
          <w:rFonts w:hint="eastAsia" w:ascii="宋体" w:hAnsi="宋体" w:eastAsia="宋体" w:cs="宋体"/>
          <w:b/>
          <w:bCs/>
          <w:sz w:val="21"/>
          <w:szCs w:val="21"/>
        </w:rPr>
        <w:t>一、采购项目需求一览表</w:t>
      </w:r>
    </w:p>
    <w:tbl>
      <w:tblPr>
        <w:tblStyle w:val="10"/>
        <w:tblW w:w="4998" w:type="pct"/>
        <w:jc w:val="center"/>
        <w:tblLayout w:type="autofit"/>
        <w:tblCellMar>
          <w:top w:w="0" w:type="dxa"/>
          <w:left w:w="0" w:type="dxa"/>
          <w:bottom w:w="0" w:type="dxa"/>
          <w:right w:w="0" w:type="dxa"/>
        </w:tblCellMar>
      </w:tblPr>
      <w:tblGrid>
        <w:gridCol w:w="991"/>
        <w:gridCol w:w="3065"/>
        <w:gridCol w:w="1268"/>
        <w:gridCol w:w="2861"/>
        <w:gridCol w:w="2307"/>
      </w:tblGrid>
      <w:tr w14:paraId="542CEEB5">
        <w:tblPrEx>
          <w:tblCellMar>
            <w:top w:w="0" w:type="dxa"/>
            <w:left w:w="0" w:type="dxa"/>
            <w:bottom w:w="0" w:type="dxa"/>
            <w:right w:w="0" w:type="dxa"/>
          </w:tblCellMar>
        </w:tblPrEx>
        <w:trPr>
          <w:trHeight w:val="788" w:hRule="atLeast"/>
          <w:jc w:val="center"/>
        </w:trPr>
        <w:tc>
          <w:tcPr>
            <w:tcW w:w="47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7ED8D86">
            <w:pPr>
              <w:widowControl/>
              <w:spacing w:line="360" w:lineRule="auto"/>
              <w:jc w:val="center"/>
              <w:textAlignment w:val="center"/>
              <w:rPr>
                <w:rFonts w:hint="eastAsia" w:ascii="宋体" w:hAnsi="宋体" w:eastAsia="宋体" w:cs="宋体"/>
                <w:sz w:val="21"/>
                <w:szCs w:val="21"/>
              </w:rPr>
            </w:pPr>
            <w:r>
              <w:rPr>
                <w:rFonts w:hint="eastAsia" w:ascii="宋体" w:hAnsi="宋体" w:eastAsia="宋体" w:cs="宋体"/>
                <w:kern w:val="0"/>
                <w:sz w:val="21"/>
                <w:szCs w:val="21"/>
                <w:lang w:bidi="ar"/>
              </w:rPr>
              <w:t>序号</w:t>
            </w:r>
          </w:p>
        </w:tc>
        <w:tc>
          <w:tcPr>
            <w:tcW w:w="146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7208FDAA">
            <w:pPr>
              <w:widowControl/>
              <w:spacing w:line="360" w:lineRule="auto"/>
              <w:jc w:val="center"/>
              <w:textAlignment w:val="center"/>
              <w:rPr>
                <w:rFonts w:hint="eastAsia" w:ascii="宋体" w:hAnsi="宋体" w:eastAsia="宋体" w:cs="宋体"/>
                <w:sz w:val="21"/>
                <w:szCs w:val="21"/>
              </w:rPr>
            </w:pPr>
            <w:r>
              <w:rPr>
                <w:rFonts w:hint="eastAsia" w:ascii="宋体" w:hAnsi="宋体" w:eastAsia="宋体" w:cs="宋体"/>
                <w:kern w:val="0"/>
                <w:sz w:val="21"/>
                <w:szCs w:val="21"/>
                <w:lang w:bidi="ar"/>
              </w:rPr>
              <w:t>采购内容</w:t>
            </w:r>
          </w:p>
        </w:tc>
        <w:tc>
          <w:tcPr>
            <w:tcW w:w="60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4F1B5B8">
            <w:pPr>
              <w:widowControl/>
              <w:spacing w:line="360" w:lineRule="auto"/>
              <w:jc w:val="center"/>
              <w:textAlignment w:val="center"/>
              <w:rPr>
                <w:rFonts w:hint="eastAsia" w:ascii="宋体" w:hAnsi="宋体" w:eastAsia="宋体" w:cs="宋体"/>
                <w:sz w:val="21"/>
                <w:szCs w:val="21"/>
              </w:rPr>
            </w:pPr>
            <w:r>
              <w:rPr>
                <w:rFonts w:hint="eastAsia" w:ascii="宋体" w:hAnsi="宋体" w:eastAsia="宋体" w:cs="宋体"/>
                <w:sz w:val="21"/>
                <w:szCs w:val="21"/>
              </w:rPr>
              <w:t>数量</w:t>
            </w:r>
          </w:p>
        </w:tc>
        <w:tc>
          <w:tcPr>
            <w:tcW w:w="136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AB996D3">
            <w:pPr>
              <w:widowControl/>
              <w:spacing w:line="360" w:lineRule="auto"/>
              <w:jc w:val="center"/>
              <w:textAlignment w:val="center"/>
              <w:rPr>
                <w:rFonts w:hint="eastAsia" w:ascii="宋体" w:hAnsi="宋体" w:eastAsia="宋体" w:cs="宋体"/>
                <w:sz w:val="21"/>
                <w:szCs w:val="21"/>
              </w:rPr>
            </w:pPr>
            <w:r>
              <w:rPr>
                <w:rFonts w:hint="eastAsia" w:ascii="宋体" w:hAnsi="宋体" w:eastAsia="宋体" w:cs="宋体"/>
                <w:sz w:val="21"/>
                <w:szCs w:val="21"/>
              </w:rPr>
              <w:t>服务期限</w:t>
            </w:r>
          </w:p>
        </w:tc>
        <w:tc>
          <w:tcPr>
            <w:tcW w:w="10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041E481">
            <w:pPr>
              <w:widowControl/>
              <w:spacing w:line="360" w:lineRule="auto"/>
              <w:jc w:val="center"/>
              <w:textAlignment w:val="center"/>
              <w:rPr>
                <w:rFonts w:hint="eastAsia" w:ascii="宋体" w:hAnsi="宋体" w:eastAsia="宋体" w:cs="宋体"/>
                <w:sz w:val="21"/>
                <w:szCs w:val="21"/>
              </w:rPr>
            </w:pPr>
            <w:r>
              <w:rPr>
                <w:rFonts w:hint="eastAsia" w:ascii="宋体" w:hAnsi="宋体" w:eastAsia="宋体" w:cs="宋体"/>
                <w:sz w:val="21"/>
                <w:szCs w:val="21"/>
              </w:rPr>
              <w:t>预算金额</w:t>
            </w:r>
          </w:p>
        </w:tc>
      </w:tr>
      <w:tr w14:paraId="4798F985">
        <w:tblPrEx>
          <w:tblCellMar>
            <w:top w:w="0" w:type="dxa"/>
            <w:left w:w="0" w:type="dxa"/>
            <w:bottom w:w="0" w:type="dxa"/>
            <w:right w:w="0" w:type="dxa"/>
          </w:tblCellMar>
        </w:tblPrEx>
        <w:trPr>
          <w:trHeight w:val="1380" w:hRule="atLeast"/>
          <w:jc w:val="center"/>
        </w:trPr>
        <w:tc>
          <w:tcPr>
            <w:tcW w:w="47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9DA12BB">
            <w:pPr>
              <w:spacing w:line="360" w:lineRule="auto"/>
              <w:jc w:val="center"/>
              <w:rPr>
                <w:rFonts w:hint="eastAsia" w:ascii="宋体" w:hAnsi="宋体" w:eastAsia="宋体" w:cs="宋体"/>
                <w:sz w:val="21"/>
                <w:szCs w:val="21"/>
              </w:rPr>
            </w:pPr>
            <w:r>
              <w:rPr>
                <w:rFonts w:hint="eastAsia" w:ascii="宋体" w:hAnsi="宋体" w:eastAsia="宋体" w:cs="宋体"/>
                <w:sz w:val="21"/>
                <w:szCs w:val="21"/>
              </w:rPr>
              <w:t>1</w:t>
            </w:r>
          </w:p>
        </w:tc>
        <w:tc>
          <w:tcPr>
            <w:tcW w:w="146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AB748B5">
            <w:pPr>
              <w:spacing w:line="360" w:lineRule="auto"/>
              <w:jc w:val="center"/>
              <w:rPr>
                <w:rFonts w:hint="eastAsia" w:ascii="宋体" w:hAnsi="宋体" w:eastAsia="宋体" w:cs="宋体"/>
                <w:sz w:val="21"/>
                <w:szCs w:val="21"/>
              </w:rPr>
            </w:pPr>
            <w:r>
              <w:rPr>
                <w:rFonts w:hint="eastAsia" w:ascii="宋体" w:hAnsi="宋体" w:eastAsia="宋体" w:cs="宋体"/>
                <w:sz w:val="21"/>
                <w:szCs w:val="21"/>
              </w:rPr>
              <w:t>仁化县人民法院法警羁押室门控系统升级采购项目</w:t>
            </w:r>
          </w:p>
        </w:tc>
        <w:tc>
          <w:tcPr>
            <w:tcW w:w="60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70D30414">
            <w:pPr>
              <w:spacing w:line="360" w:lineRule="auto"/>
              <w:jc w:val="center"/>
              <w:rPr>
                <w:rFonts w:hint="eastAsia" w:ascii="宋体" w:hAnsi="宋体" w:eastAsia="宋体" w:cs="宋体"/>
                <w:sz w:val="21"/>
                <w:szCs w:val="21"/>
              </w:rPr>
            </w:pPr>
            <w:r>
              <w:rPr>
                <w:rFonts w:hint="eastAsia" w:ascii="宋体" w:hAnsi="宋体" w:eastAsia="宋体" w:cs="宋体"/>
                <w:sz w:val="21"/>
                <w:szCs w:val="21"/>
              </w:rPr>
              <w:t>1项</w:t>
            </w:r>
          </w:p>
        </w:tc>
        <w:tc>
          <w:tcPr>
            <w:tcW w:w="136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F3B43BE">
            <w:pPr>
              <w:spacing w:line="360" w:lineRule="auto"/>
              <w:jc w:val="center"/>
              <w:rPr>
                <w:rFonts w:hint="eastAsia" w:ascii="宋体" w:hAnsi="宋体" w:eastAsia="宋体" w:cs="宋体"/>
                <w:sz w:val="21"/>
                <w:szCs w:val="21"/>
              </w:rPr>
            </w:pPr>
            <w:r>
              <w:rPr>
                <w:rFonts w:hint="eastAsia" w:ascii="宋体" w:hAnsi="宋体" w:eastAsia="宋体" w:cs="宋体"/>
                <w:sz w:val="21"/>
                <w:szCs w:val="21"/>
              </w:rPr>
              <w:t>合同签订后30日内完成供货、安装、调试并交付验收</w:t>
            </w:r>
          </w:p>
        </w:tc>
        <w:tc>
          <w:tcPr>
            <w:tcW w:w="10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B21177A">
            <w:pPr>
              <w:pStyle w:val="15"/>
              <w:spacing w:line="360" w:lineRule="auto"/>
              <w:ind w:firstLine="0"/>
              <w:jc w:val="center"/>
              <w:rPr>
                <w:rFonts w:hint="eastAsia" w:ascii="宋体" w:hAnsi="宋体" w:eastAsia="宋体" w:cs="宋体"/>
                <w:sz w:val="21"/>
                <w:szCs w:val="21"/>
              </w:rPr>
            </w:pPr>
            <w:r>
              <w:rPr>
                <w:rFonts w:hint="eastAsia" w:ascii="宋体" w:hAnsi="宋体" w:eastAsia="宋体" w:cs="宋体"/>
                <w:color w:val="000000"/>
                <w:sz w:val="21"/>
                <w:szCs w:val="21"/>
              </w:rPr>
              <w:t>¥74,800.00</w:t>
            </w:r>
          </w:p>
        </w:tc>
      </w:tr>
    </w:tbl>
    <w:p w14:paraId="1BEAC2C3">
      <w:pPr>
        <w:numPr>
          <w:ilvl w:val="0"/>
          <w:numId w:val="1"/>
        </w:numPr>
        <w:spacing w:line="360" w:lineRule="auto"/>
        <w:rPr>
          <w:rFonts w:hint="eastAsia" w:ascii="宋体" w:hAnsi="宋体" w:eastAsia="宋体" w:cs="宋体"/>
          <w:b/>
          <w:bCs/>
          <w:sz w:val="21"/>
          <w:szCs w:val="21"/>
        </w:rPr>
      </w:pPr>
      <w:r>
        <w:rPr>
          <w:rFonts w:hint="eastAsia" w:ascii="宋体" w:hAnsi="宋体" w:eastAsia="宋体" w:cs="宋体"/>
          <w:b/>
          <w:bCs/>
          <w:sz w:val="21"/>
          <w:szCs w:val="21"/>
        </w:rPr>
        <w:t>报价要求</w:t>
      </w:r>
    </w:p>
    <w:p w14:paraId="47068D63">
      <w:pPr>
        <w:pStyle w:val="15"/>
        <w:numPr>
          <w:ilvl w:val="0"/>
          <w:numId w:val="2"/>
        </w:numPr>
        <w:spacing w:line="360" w:lineRule="auto"/>
        <w:rPr>
          <w:rFonts w:hint="eastAsia" w:ascii="宋体" w:hAnsi="宋体" w:eastAsia="宋体" w:cs="宋体"/>
          <w:sz w:val="21"/>
          <w:szCs w:val="21"/>
        </w:rPr>
      </w:pPr>
      <w:r>
        <w:rPr>
          <w:rFonts w:hint="eastAsia" w:ascii="宋体" w:hAnsi="宋体" w:eastAsia="宋体" w:cs="宋体"/>
          <w:sz w:val="21"/>
          <w:szCs w:val="21"/>
        </w:rPr>
        <w:t>供应商报价不得高于文件规定的预算金额，否则将导致响应无效处理。</w:t>
      </w:r>
    </w:p>
    <w:p w14:paraId="1CFE2602">
      <w:pPr>
        <w:pStyle w:val="15"/>
        <w:numPr>
          <w:ilvl w:val="0"/>
          <w:numId w:val="2"/>
        </w:numPr>
        <w:spacing w:line="360" w:lineRule="auto"/>
        <w:rPr>
          <w:rFonts w:hint="eastAsia" w:ascii="宋体" w:hAnsi="宋体" w:eastAsia="宋体" w:cs="宋体"/>
          <w:sz w:val="21"/>
          <w:szCs w:val="21"/>
        </w:rPr>
      </w:pPr>
      <w:r>
        <w:rPr>
          <w:rStyle w:val="20"/>
          <w:rFonts w:hint="eastAsia" w:ascii="宋体" w:hAnsi="宋体" w:eastAsia="宋体" w:cs="宋体"/>
          <w:sz w:val="21"/>
          <w:szCs w:val="21"/>
        </w:rPr>
        <w:t>报价应为人民币含税全包价，包括但不限于项目实施过程的供货方测试、制造、包装、运输、安装调试、装卸、验收、质保期服务、各项税费及合同实施过程中不可预见费用等全部费用。在项目的实施过程中，供应商必须充分考虑在本项目实施期间的一切可能产生的风险和相关费用，采购人将拒绝支付合同约定之外的任何费用和补偿。</w:t>
      </w:r>
    </w:p>
    <w:p w14:paraId="4F692A80">
      <w:pPr>
        <w:numPr>
          <w:ilvl w:val="0"/>
          <w:numId w:val="1"/>
        </w:numPr>
        <w:spacing w:line="360" w:lineRule="auto"/>
        <w:rPr>
          <w:rFonts w:hint="eastAsia" w:ascii="宋体" w:hAnsi="宋体" w:eastAsia="宋体" w:cs="宋体"/>
          <w:b/>
          <w:sz w:val="21"/>
          <w:szCs w:val="21"/>
        </w:rPr>
      </w:pPr>
      <w:r>
        <w:rPr>
          <w:rFonts w:hint="eastAsia" w:ascii="宋体" w:hAnsi="宋体" w:eastAsia="宋体" w:cs="宋体"/>
          <w:b/>
          <w:sz w:val="21"/>
          <w:szCs w:val="21"/>
        </w:rPr>
        <w:t>采购标的清单、技术规格及参数</w:t>
      </w:r>
    </w:p>
    <w:tbl>
      <w:tblPr>
        <w:tblStyle w:val="10"/>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6"/>
        <w:gridCol w:w="833"/>
        <w:gridCol w:w="5205"/>
        <w:gridCol w:w="390"/>
        <w:gridCol w:w="600"/>
        <w:gridCol w:w="1494"/>
      </w:tblGrid>
      <w:tr w14:paraId="39565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06" w:type="dxa"/>
            <w:noWrap w:val="0"/>
            <w:vAlign w:val="center"/>
          </w:tcPr>
          <w:p w14:paraId="008EF2B3">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序号</w:t>
            </w:r>
          </w:p>
        </w:tc>
        <w:tc>
          <w:tcPr>
            <w:tcW w:w="833" w:type="dxa"/>
            <w:noWrap w:val="0"/>
            <w:vAlign w:val="center"/>
          </w:tcPr>
          <w:p w14:paraId="56A38550">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产品名称</w:t>
            </w:r>
          </w:p>
        </w:tc>
        <w:tc>
          <w:tcPr>
            <w:tcW w:w="5205" w:type="dxa"/>
            <w:noWrap w:val="0"/>
            <w:vAlign w:val="center"/>
          </w:tcPr>
          <w:p w14:paraId="43A9D60E">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产品技术参数</w:t>
            </w:r>
          </w:p>
        </w:tc>
        <w:tc>
          <w:tcPr>
            <w:tcW w:w="390" w:type="dxa"/>
            <w:noWrap w:val="0"/>
            <w:vAlign w:val="center"/>
          </w:tcPr>
          <w:p w14:paraId="60E4F6A5">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数量</w:t>
            </w:r>
          </w:p>
        </w:tc>
        <w:tc>
          <w:tcPr>
            <w:tcW w:w="600" w:type="dxa"/>
            <w:noWrap w:val="0"/>
            <w:vAlign w:val="center"/>
          </w:tcPr>
          <w:p w14:paraId="03407C71">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单位</w:t>
            </w:r>
          </w:p>
        </w:tc>
        <w:tc>
          <w:tcPr>
            <w:tcW w:w="1494" w:type="dxa"/>
            <w:noWrap w:val="0"/>
            <w:vAlign w:val="center"/>
          </w:tcPr>
          <w:p w14:paraId="2B971E76">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备注</w:t>
            </w:r>
          </w:p>
        </w:tc>
      </w:tr>
      <w:tr w14:paraId="0BA0F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160E6903">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1</w:t>
            </w:r>
          </w:p>
        </w:tc>
        <w:tc>
          <w:tcPr>
            <w:tcW w:w="833" w:type="dxa"/>
            <w:noWrap w:val="0"/>
            <w:vAlign w:val="center"/>
          </w:tcPr>
          <w:p w14:paraId="280FA39C">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软件定制</w:t>
            </w:r>
          </w:p>
        </w:tc>
        <w:tc>
          <w:tcPr>
            <w:tcW w:w="5205" w:type="dxa"/>
            <w:noWrap w:val="0"/>
            <w:vAlign w:val="center"/>
          </w:tcPr>
          <w:p w14:paraId="5B1DBCDD">
            <w:pPr>
              <w:spacing w:line="360" w:lineRule="auto"/>
              <w:jc w:val="left"/>
              <w:rPr>
                <w:rFonts w:hint="eastAsia" w:ascii="宋体" w:hAnsi="宋体" w:eastAsia="宋体" w:cs="宋体"/>
                <w:bCs/>
                <w:color w:val="auto"/>
                <w:sz w:val="21"/>
                <w:szCs w:val="21"/>
              </w:rPr>
            </w:pPr>
            <w:r>
              <w:rPr>
                <w:rFonts w:hint="eastAsia" w:ascii="宋体" w:hAnsi="宋体" w:eastAsia="宋体" w:cs="宋体"/>
                <w:bCs/>
                <w:color w:val="auto"/>
                <w:sz w:val="21"/>
                <w:szCs w:val="21"/>
              </w:rPr>
              <w:t>1、现有互锁AB门通过增加声光或屏幕提示是否存在某个门未锁好，导致其他门无法正常开启。</w:t>
            </w:r>
          </w:p>
          <w:p w14:paraId="7AAF6D59">
            <w:pPr>
              <w:spacing w:line="360" w:lineRule="auto"/>
              <w:jc w:val="left"/>
              <w:rPr>
                <w:rFonts w:hint="eastAsia" w:ascii="宋体" w:hAnsi="宋体" w:eastAsia="宋体" w:cs="宋体"/>
                <w:bCs/>
                <w:color w:val="auto"/>
                <w:sz w:val="21"/>
                <w:szCs w:val="21"/>
              </w:rPr>
            </w:pPr>
            <w:r>
              <w:rPr>
                <w:rFonts w:hint="eastAsia" w:ascii="宋体" w:hAnsi="宋体" w:eastAsia="宋体" w:cs="宋体"/>
                <w:bCs/>
                <w:color w:val="auto"/>
                <w:sz w:val="21"/>
                <w:szCs w:val="21"/>
              </w:rPr>
              <w:t>2、实现紧急情况下可通过生物识别或者刷卡强制打开某个门的权限。不受AB门影响。</w:t>
            </w:r>
          </w:p>
          <w:p w14:paraId="7186F6D1">
            <w:pPr>
              <w:spacing w:line="360" w:lineRule="auto"/>
              <w:jc w:val="left"/>
              <w:rPr>
                <w:rFonts w:hint="eastAsia" w:ascii="宋体" w:hAnsi="宋体" w:eastAsia="宋体" w:cs="宋体"/>
                <w:bCs/>
                <w:color w:val="auto"/>
                <w:sz w:val="21"/>
                <w:szCs w:val="21"/>
              </w:rPr>
            </w:pPr>
            <w:r>
              <w:rPr>
                <w:rFonts w:hint="eastAsia" w:ascii="宋体" w:hAnsi="宋体" w:eastAsia="宋体" w:cs="宋体"/>
                <w:bCs/>
                <w:color w:val="auto"/>
                <w:sz w:val="21"/>
                <w:szCs w:val="21"/>
              </w:rPr>
              <w:t>3、为了不影响现有AB门互锁，需要卷闸门通过增加语音或者声光提示卷闸门是否关闭到位。</w:t>
            </w:r>
          </w:p>
          <w:p w14:paraId="3EA893F9">
            <w:pPr>
              <w:spacing w:line="360" w:lineRule="auto"/>
              <w:jc w:val="left"/>
              <w:rPr>
                <w:rFonts w:hint="eastAsia" w:ascii="宋体" w:hAnsi="宋体" w:eastAsia="宋体" w:cs="宋体"/>
                <w:bCs/>
                <w:color w:val="auto"/>
                <w:sz w:val="21"/>
                <w:szCs w:val="21"/>
              </w:rPr>
            </w:pPr>
            <w:r>
              <w:rPr>
                <w:rFonts w:hint="eastAsia" w:ascii="宋体" w:hAnsi="宋体" w:eastAsia="宋体" w:cs="宋体"/>
                <w:bCs/>
                <w:color w:val="auto"/>
                <w:sz w:val="21"/>
                <w:szCs w:val="21"/>
              </w:rPr>
              <w:t>4、消费软件实现：对应当前餐别未订餐的情况下去刷卡，系统响应提示未订餐。对应当前餐别订餐了已消费，系统提示已用餐。</w:t>
            </w:r>
          </w:p>
          <w:p w14:paraId="67CD83FF">
            <w:pPr>
              <w:spacing w:line="360" w:lineRule="auto"/>
              <w:jc w:val="left"/>
              <w:rPr>
                <w:rFonts w:hint="eastAsia" w:ascii="宋体" w:hAnsi="宋体" w:eastAsia="宋体" w:cs="宋体"/>
                <w:bCs/>
                <w:color w:val="auto"/>
                <w:sz w:val="21"/>
                <w:szCs w:val="21"/>
              </w:rPr>
            </w:pPr>
            <w:r>
              <w:rPr>
                <w:rFonts w:hint="eastAsia" w:ascii="宋体" w:hAnsi="宋体" w:eastAsia="宋体" w:cs="宋体"/>
                <w:bCs/>
                <w:color w:val="auto"/>
                <w:sz w:val="21"/>
                <w:szCs w:val="21"/>
              </w:rPr>
              <w:t>5、员工吃饭时需要验证员工当前时间段有没有今行订餐，有订餐可在消费机刷卡就餐，没有订餐需要有语音及界面提示，具体提示明细如下：</w:t>
            </w:r>
          </w:p>
          <w:p w14:paraId="51FB862D">
            <w:pPr>
              <w:spacing w:line="360" w:lineRule="auto"/>
              <w:jc w:val="left"/>
              <w:rPr>
                <w:rFonts w:hint="eastAsia" w:ascii="宋体" w:hAnsi="宋体" w:eastAsia="宋体" w:cs="宋体"/>
                <w:bCs/>
                <w:color w:val="auto"/>
                <w:sz w:val="21"/>
                <w:szCs w:val="21"/>
              </w:rPr>
            </w:pPr>
            <w:r>
              <w:rPr>
                <w:rFonts w:hint="eastAsia" w:ascii="宋体" w:hAnsi="宋体" w:eastAsia="宋体" w:cs="宋体"/>
                <w:bCs/>
                <w:color w:val="auto"/>
                <w:sz w:val="21"/>
                <w:szCs w:val="21"/>
              </w:rPr>
              <w:t>若员工没有订餐，则提示“未订餐”</w:t>
            </w:r>
          </w:p>
          <w:p w14:paraId="4B76DA5E">
            <w:pPr>
              <w:spacing w:line="360" w:lineRule="auto"/>
              <w:jc w:val="left"/>
              <w:rPr>
                <w:rFonts w:hint="eastAsia" w:ascii="宋体" w:hAnsi="宋体" w:eastAsia="宋体" w:cs="宋体"/>
                <w:bCs/>
                <w:color w:val="auto"/>
                <w:sz w:val="21"/>
                <w:szCs w:val="21"/>
              </w:rPr>
            </w:pPr>
            <w:r>
              <w:rPr>
                <w:rFonts w:hint="eastAsia" w:ascii="宋体" w:hAnsi="宋体" w:eastAsia="宋体" w:cs="宋体"/>
                <w:bCs/>
                <w:color w:val="auto"/>
                <w:sz w:val="21"/>
                <w:szCs w:val="21"/>
              </w:rPr>
              <w:t xml:space="preserve">若员工有订餐且已消费，则提示“已就餐” </w:t>
            </w:r>
          </w:p>
          <w:p w14:paraId="4348F018">
            <w:pPr>
              <w:spacing w:line="360" w:lineRule="auto"/>
              <w:jc w:val="left"/>
              <w:rPr>
                <w:rFonts w:hint="eastAsia" w:ascii="宋体" w:hAnsi="宋体" w:eastAsia="宋体" w:cs="宋体"/>
                <w:bCs/>
                <w:color w:val="auto"/>
                <w:sz w:val="21"/>
                <w:szCs w:val="21"/>
              </w:rPr>
            </w:pPr>
            <w:r>
              <w:rPr>
                <w:rFonts w:hint="eastAsia" w:ascii="宋体" w:hAnsi="宋体" w:eastAsia="宋体" w:cs="宋体"/>
                <w:bCs/>
                <w:color w:val="auto"/>
                <w:sz w:val="21"/>
                <w:szCs w:val="21"/>
              </w:rPr>
              <w:t>校验订餐时间以服务器时间为准；</w:t>
            </w:r>
          </w:p>
          <w:p w14:paraId="3D58ABA1">
            <w:pPr>
              <w:spacing w:line="360" w:lineRule="auto"/>
              <w:jc w:val="left"/>
              <w:rPr>
                <w:rFonts w:hint="eastAsia" w:ascii="宋体" w:hAnsi="宋体" w:eastAsia="宋体" w:cs="宋体"/>
                <w:bCs/>
                <w:color w:val="auto"/>
                <w:sz w:val="21"/>
                <w:szCs w:val="21"/>
              </w:rPr>
            </w:pPr>
            <w:r>
              <w:rPr>
                <w:rFonts w:hint="eastAsia" w:ascii="宋体" w:hAnsi="宋体" w:eastAsia="宋体" w:cs="宋体"/>
                <w:bCs/>
                <w:color w:val="auto"/>
                <w:sz w:val="21"/>
                <w:szCs w:val="21"/>
              </w:rPr>
              <w:t>设备网络保持实时在线状态</w:t>
            </w:r>
          </w:p>
        </w:tc>
        <w:tc>
          <w:tcPr>
            <w:tcW w:w="390" w:type="dxa"/>
            <w:noWrap w:val="0"/>
            <w:vAlign w:val="center"/>
          </w:tcPr>
          <w:p w14:paraId="478A0296">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1</w:t>
            </w:r>
          </w:p>
        </w:tc>
        <w:tc>
          <w:tcPr>
            <w:tcW w:w="600" w:type="dxa"/>
            <w:noWrap w:val="0"/>
            <w:vAlign w:val="center"/>
          </w:tcPr>
          <w:p w14:paraId="0C8D395C">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项</w:t>
            </w:r>
          </w:p>
        </w:tc>
        <w:tc>
          <w:tcPr>
            <w:tcW w:w="1494" w:type="dxa"/>
            <w:noWrap w:val="0"/>
            <w:vAlign w:val="center"/>
          </w:tcPr>
          <w:p w14:paraId="622AF678">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综合管理平台</w:t>
            </w:r>
          </w:p>
        </w:tc>
      </w:tr>
      <w:tr w14:paraId="7137E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41BCD9F0">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2</w:t>
            </w:r>
          </w:p>
        </w:tc>
        <w:tc>
          <w:tcPr>
            <w:tcW w:w="833" w:type="dxa"/>
            <w:noWrap w:val="0"/>
            <w:vAlign w:val="center"/>
          </w:tcPr>
          <w:p w14:paraId="4731BEE8">
            <w:pPr>
              <w:widowControl/>
              <w:jc w:val="center"/>
              <w:textAlignment w:val="center"/>
              <w:rPr>
                <w:rFonts w:hint="eastAsia" w:ascii="宋体" w:hAnsi="宋体" w:eastAsia="宋体" w:cs="宋体"/>
                <w:bCs/>
                <w:color w:val="auto"/>
                <w:sz w:val="21"/>
                <w:szCs w:val="21"/>
              </w:rPr>
            </w:pPr>
            <w:r>
              <w:rPr>
                <w:rFonts w:hint="eastAsia" w:ascii="宋体" w:hAnsi="宋体" w:eastAsia="宋体" w:cs="宋体"/>
                <w:color w:val="auto"/>
                <w:kern w:val="0"/>
                <w:sz w:val="21"/>
                <w:szCs w:val="21"/>
                <w:lang w:bidi="ar"/>
              </w:rPr>
              <w:t>指示灯</w:t>
            </w:r>
          </w:p>
        </w:tc>
        <w:tc>
          <w:tcPr>
            <w:tcW w:w="5205" w:type="dxa"/>
            <w:noWrap w:val="0"/>
            <w:vAlign w:val="center"/>
          </w:tcPr>
          <w:p w14:paraId="58279CD3">
            <w:pPr>
              <w:widowControl/>
              <w:jc w:val="center"/>
              <w:textAlignment w:val="center"/>
              <w:rPr>
                <w:rFonts w:hint="eastAsia" w:ascii="宋体" w:hAnsi="宋体" w:eastAsia="宋体" w:cs="宋体"/>
                <w:bCs/>
                <w:color w:val="auto"/>
                <w:sz w:val="21"/>
                <w:szCs w:val="21"/>
              </w:rPr>
            </w:pPr>
            <w:r>
              <w:rPr>
                <w:rFonts w:hint="eastAsia" w:ascii="宋体" w:hAnsi="宋体" w:eastAsia="宋体" w:cs="宋体"/>
                <w:color w:val="auto"/>
                <w:kern w:val="0"/>
                <w:sz w:val="21"/>
                <w:szCs w:val="21"/>
                <w:lang w:bidi="ar"/>
              </w:rPr>
              <w:t>/</w:t>
            </w:r>
          </w:p>
        </w:tc>
        <w:tc>
          <w:tcPr>
            <w:tcW w:w="390" w:type="dxa"/>
            <w:noWrap w:val="0"/>
            <w:vAlign w:val="center"/>
          </w:tcPr>
          <w:p w14:paraId="18FCC27A">
            <w:pPr>
              <w:widowControl/>
              <w:jc w:val="center"/>
              <w:textAlignment w:val="center"/>
              <w:rPr>
                <w:rFonts w:hint="eastAsia" w:ascii="宋体" w:hAnsi="宋体" w:eastAsia="宋体" w:cs="宋体"/>
                <w:bCs/>
                <w:color w:val="auto"/>
                <w:sz w:val="21"/>
                <w:szCs w:val="21"/>
              </w:rPr>
            </w:pPr>
            <w:r>
              <w:rPr>
                <w:rFonts w:hint="eastAsia" w:ascii="宋体" w:hAnsi="宋体" w:eastAsia="宋体" w:cs="宋体"/>
                <w:color w:val="auto"/>
                <w:kern w:val="0"/>
                <w:sz w:val="21"/>
                <w:szCs w:val="21"/>
                <w:lang w:bidi="ar"/>
              </w:rPr>
              <w:t xml:space="preserve">7 </w:t>
            </w:r>
          </w:p>
        </w:tc>
        <w:tc>
          <w:tcPr>
            <w:tcW w:w="600" w:type="dxa"/>
            <w:noWrap w:val="0"/>
            <w:vAlign w:val="center"/>
          </w:tcPr>
          <w:p w14:paraId="55BD9F7D">
            <w:pPr>
              <w:widowControl/>
              <w:jc w:val="center"/>
              <w:textAlignment w:val="center"/>
              <w:rPr>
                <w:rFonts w:hint="eastAsia" w:ascii="宋体" w:hAnsi="宋体" w:eastAsia="宋体" w:cs="宋体"/>
                <w:bCs/>
                <w:color w:val="auto"/>
                <w:sz w:val="21"/>
                <w:szCs w:val="21"/>
              </w:rPr>
            </w:pPr>
            <w:r>
              <w:rPr>
                <w:rFonts w:hint="eastAsia" w:ascii="宋体" w:hAnsi="宋体" w:eastAsia="宋体" w:cs="宋体"/>
                <w:color w:val="auto"/>
                <w:kern w:val="0"/>
                <w:sz w:val="21"/>
                <w:szCs w:val="21"/>
                <w:lang w:bidi="ar"/>
              </w:rPr>
              <w:t>个</w:t>
            </w:r>
          </w:p>
        </w:tc>
        <w:tc>
          <w:tcPr>
            <w:tcW w:w="1494" w:type="dxa"/>
            <w:noWrap w:val="0"/>
            <w:vAlign w:val="center"/>
          </w:tcPr>
          <w:p w14:paraId="7CA9017C">
            <w:pPr>
              <w:widowControl/>
              <w:jc w:val="center"/>
              <w:textAlignment w:val="center"/>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信号指示灯</w:t>
            </w:r>
          </w:p>
        </w:tc>
      </w:tr>
      <w:tr w14:paraId="70A60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1DADC94D">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3</w:t>
            </w:r>
          </w:p>
        </w:tc>
        <w:tc>
          <w:tcPr>
            <w:tcW w:w="833" w:type="dxa"/>
            <w:noWrap w:val="0"/>
            <w:vAlign w:val="center"/>
          </w:tcPr>
          <w:p w14:paraId="16899EE7">
            <w:pPr>
              <w:widowControl/>
              <w:jc w:val="center"/>
              <w:textAlignment w:val="center"/>
              <w:rPr>
                <w:rFonts w:hint="eastAsia" w:ascii="宋体" w:hAnsi="宋体" w:eastAsia="宋体" w:cs="宋体"/>
                <w:bCs/>
                <w:color w:val="auto"/>
                <w:sz w:val="21"/>
                <w:szCs w:val="21"/>
              </w:rPr>
            </w:pPr>
            <w:r>
              <w:rPr>
                <w:rFonts w:hint="eastAsia" w:ascii="宋体" w:hAnsi="宋体" w:eastAsia="宋体" w:cs="宋体"/>
                <w:color w:val="auto"/>
                <w:kern w:val="0"/>
                <w:sz w:val="21"/>
                <w:szCs w:val="21"/>
                <w:lang w:bidi="ar"/>
              </w:rPr>
              <w:t>门磁</w:t>
            </w:r>
          </w:p>
        </w:tc>
        <w:tc>
          <w:tcPr>
            <w:tcW w:w="5205" w:type="dxa"/>
            <w:noWrap w:val="0"/>
            <w:vAlign w:val="center"/>
          </w:tcPr>
          <w:p w14:paraId="1BA48F8E">
            <w:pPr>
              <w:widowControl/>
              <w:jc w:val="center"/>
              <w:textAlignment w:val="center"/>
              <w:rPr>
                <w:rFonts w:hint="eastAsia" w:ascii="宋体" w:hAnsi="宋体" w:eastAsia="宋体" w:cs="宋体"/>
                <w:bCs/>
                <w:color w:val="auto"/>
                <w:sz w:val="21"/>
                <w:szCs w:val="21"/>
              </w:rPr>
            </w:pPr>
            <w:r>
              <w:rPr>
                <w:rFonts w:hint="eastAsia" w:ascii="宋体" w:hAnsi="宋体" w:eastAsia="宋体" w:cs="宋体"/>
                <w:color w:val="auto"/>
                <w:kern w:val="0"/>
                <w:sz w:val="21"/>
                <w:szCs w:val="21"/>
                <w:lang w:bidi="ar"/>
              </w:rPr>
              <w:t>/</w:t>
            </w:r>
          </w:p>
        </w:tc>
        <w:tc>
          <w:tcPr>
            <w:tcW w:w="390" w:type="dxa"/>
            <w:noWrap w:val="0"/>
            <w:vAlign w:val="center"/>
          </w:tcPr>
          <w:p w14:paraId="5B879FD6">
            <w:pPr>
              <w:widowControl/>
              <w:jc w:val="center"/>
              <w:textAlignment w:val="center"/>
              <w:rPr>
                <w:rFonts w:hint="eastAsia" w:ascii="宋体" w:hAnsi="宋体" w:eastAsia="宋体" w:cs="宋体"/>
                <w:bCs/>
                <w:color w:val="auto"/>
                <w:sz w:val="21"/>
                <w:szCs w:val="21"/>
              </w:rPr>
            </w:pPr>
            <w:r>
              <w:rPr>
                <w:rFonts w:hint="eastAsia" w:ascii="宋体" w:hAnsi="宋体" w:eastAsia="宋体" w:cs="宋体"/>
                <w:color w:val="auto"/>
                <w:kern w:val="0"/>
                <w:sz w:val="21"/>
                <w:szCs w:val="21"/>
                <w:lang w:bidi="ar"/>
              </w:rPr>
              <w:t xml:space="preserve">1 </w:t>
            </w:r>
          </w:p>
        </w:tc>
        <w:tc>
          <w:tcPr>
            <w:tcW w:w="600" w:type="dxa"/>
            <w:noWrap w:val="0"/>
            <w:vAlign w:val="center"/>
          </w:tcPr>
          <w:p w14:paraId="7DD469E4">
            <w:pPr>
              <w:widowControl/>
              <w:jc w:val="center"/>
              <w:textAlignment w:val="center"/>
              <w:rPr>
                <w:rFonts w:hint="eastAsia" w:ascii="宋体" w:hAnsi="宋体" w:eastAsia="宋体" w:cs="宋体"/>
                <w:bCs/>
                <w:color w:val="auto"/>
                <w:sz w:val="21"/>
                <w:szCs w:val="21"/>
              </w:rPr>
            </w:pPr>
            <w:r>
              <w:rPr>
                <w:rFonts w:hint="eastAsia" w:ascii="宋体" w:hAnsi="宋体" w:eastAsia="宋体" w:cs="宋体"/>
                <w:color w:val="auto"/>
                <w:kern w:val="0"/>
                <w:sz w:val="21"/>
                <w:szCs w:val="21"/>
                <w:lang w:bidi="ar"/>
              </w:rPr>
              <w:t>套</w:t>
            </w:r>
          </w:p>
        </w:tc>
        <w:tc>
          <w:tcPr>
            <w:tcW w:w="1494" w:type="dxa"/>
            <w:noWrap w:val="0"/>
            <w:vAlign w:val="center"/>
          </w:tcPr>
          <w:p w14:paraId="4073CAB9">
            <w:pPr>
              <w:widowControl/>
              <w:jc w:val="center"/>
              <w:textAlignment w:val="center"/>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卷闸门门磁</w:t>
            </w:r>
          </w:p>
        </w:tc>
      </w:tr>
      <w:tr w14:paraId="1B2FE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24E454A0">
            <w:pPr>
              <w:spacing w:line="360" w:lineRule="auto"/>
              <w:jc w:val="center"/>
              <w:rPr>
                <w:rFonts w:hint="eastAsia" w:ascii="宋体" w:hAnsi="宋体" w:eastAsia="宋体" w:cs="宋体"/>
                <w:bCs/>
                <w:color w:val="auto"/>
                <w:sz w:val="21"/>
                <w:szCs w:val="21"/>
              </w:rPr>
            </w:pPr>
            <w:r>
              <w:rPr>
                <w:rFonts w:hint="eastAsia" w:ascii="宋体" w:hAnsi="宋体" w:eastAsia="宋体" w:cs="宋体"/>
                <w:bCs/>
                <w:color w:val="auto"/>
                <w:sz w:val="21"/>
                <w:szCs w:val="21"/>
              </w:rPr>
              <w:t>4</w:t>
            </w:r>
          </w:p>
        </w:tc>
        <w:tc>
          <w:tcPr>
            <w:tcW w:w="833" w:type="dxa"/>
            <w:noWrap w:val="0"/>
            <w:vAlign w:val="center"/>
          </w:tcPr>
          <w:p w14:paraId="69146783">
            <w:pPr>
              <w:widowControl/>
              <w:jc w:val="center"/>
              <w:textAlignment w:val="center"/>
              <w:rPr>
                <w:rFonts w:hint="eastAsia" w:ascii="宋体" w:hAnsi="宋体" w:eastAsia="宋体" w:cs="宋体"/>
                <w:bCs/>
                <w:color w:val="auto"/>
                <w:sz w:val="21"/>
                <w:szCs w:val="21"/>
              </w:rPr>
            </w:pPr>
            <w:r>
              <w:rPr>
                <w:rFonts w:hint="eastAsia" w:ascii="宋体" w:hAnsi="宋体" w:eastAsia="宋体" w:cs="宋体"/>
                <w:color w:val="auto"/>
                <w:kern w:val="0"/>
                <w:sz w:val="21"/>
                <w:szCs w:val="21"/>
                <w:lang w:bidi="ar"/>
              </w:rPr>
              <w:t>继电器</w:t>
            </w:r>
          </w:p>
        </w:tc>
        <w:tc>
          <w:tcPr>
            <w:tcW w:w="5205" w:type="dxa"/>
            <w:noWrap w:val="0"/>
            <w:vAlign w:val="center"/>
          </w:tcPr>
          <w:p w14:paraId="06A4E5CC">
            <w:pPr>
              <w:widowControl/>
              <w:jc w:val="center"/>
              <w:textAlignment w:val="center"/>
              <w:rPr>
                <w:rFonts w:hint="eastAsia" w:ascii="宋体" w:hAnsi="宋体" w:eastAsia="宋体" w:cs="宋体"/>
                <w:bCs/>
                <w:color w:val="auto"/>
                <w:sz w:val="21"/>
                <w:szCs w:val="21"/>
              </w:rPr>
            </w:pPr>
            <w:r>
              <w:rPr>
                <w:rFonts w:hint="eastAsia" w:ascii="宋体" w:hAnsi="宋体" w:eastAsia="宋体" w:cs="宋体"/>
                <w:color w:val="auto"/>
                <w:kern w:val="0"/>
                <w:sz w:val="21"/>
                <w:szCs w:val="21"/>
                <w:lang w:bidi="ar"/>
              </w:rPr>
              <w:t>/</w:t>
            </w:r>
          </w:p>
        </w:tc>
        <w:tc>
          <w:tcPr>
            <w:tcW w:w="390" w:type="dxa"/>
            <w:noWrap w:val="0"/>
            <w:vAlign w:val="center"/>
          </w:tcPr>
          <w:p w14:paraId="5DDE60DC">
            <w:pPr>
              <w:widowControl/>
              <w:jc w:val="center"/>
              <w:textAlignment w:val="center"/>
              <w:rPr>
                <w:rFonts w:hint="eastAsia" w:ascii="宋体" w:hAnsi="宋体" w:eastAsia="宋体" w:cs="宋体"/>
                <w:bCs/>
                <w:color w:val="auto"/>
                <w:sz w:val="21"/>
                <w:szCs w:val="21"/>
              </w:rPr>
            </w:pPr>
            <w:r>
              <w:rPr>
                <w:rFonts w:hint="eastAsia" w:ascii="宋体" w:hAnsi="宋体" w:eastAsia="宋体" w:cs="宋体"/>
                <w:color w:val="auto"/>
                <w:kern w:val="0"/>
                <w:sz w:val="21"/>
                <w:szCs w:val="21"/>
                <w:lang w:bidi="ar"/>
              </w:rPr>
              <w:t xml:space="preserve">7 </w:t>
            </w:r>
          </w:p>
        </w:tc>
        <w:tc>
          <w:tcPr>
            <w:tcW w:w="600" w:type="dxa"/>
            <w:noWrap w:val="0"/>
            <w:vAlign w:val="center"/>
          </w:tcPr>
          <w:p w14:paraId="66D3C985">
            <w:pPr>
              <w:widowControl/>
              <w:jc w:val="center"/>
              <w:textAlignment w:val="center"/>
              <w:rPr>
                <w:rFonts w:hint="eastAsia" w:ascii="宋体" w:hAnsi="宋体" w:eastAsia="宋体" w:cs="宋体"/>
                <w:bCs/>
                <w:color w:val="auto"/>
                <w:sz w:val="21"/>
                <w:szCs w:val="21"/>
              </w:rPr>
            </w:pPr>
            <w:r>
              <w:rPr>
                <w:rFonts w:hint="eastAsia" w:ascii="宋体" w:hAnsi="宋体" w:eastAsia="宋体" w:cs="宋体"/>
                <w:color w:val="auto"/>
                <w:kern w:val="0"/>
                <w:sz w:val="21"/>
                <w:szCs w:val="21"/>
                <w:lang w:bidi="ar"/>
              </w:rPr>
              <w:t>个</w:t>
            </w:r>
          </w:p>
        </w:tc>
        <w:tc>
          <w:tcPr>
            <w:tcW w:w="1494" w:type="dxa"/>
            <w:noWrap w:val="0"/>
            <w:vAlign w:val="center"/>
          </w:tcPr>
          <w:p w14:paraId="35FE251B">
            <w:pPr>
              <w:widowControl/>
              <w:jc w:val="center"/>
              <w:textAlignment w:val="center"/>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门磁继电器</w:t>
            </w:r>
          </w:p>
        </w:tc>
      </w:tr>
      <w:tr w14:paraId="506FA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406" w:type="dxa"/>
            <w:vMerge w:val="restart"/>
            <w:noWrap w:val="0"/>
            <w:vAlign w:val="center"/>
          </w:tcPr>
          <w:p w14:paraId="4CC68D35">
            <w:pPr>
              <w:widowControl/>
              <w:jc w:val="center"/>
              <w:textAlignment w:val="center"/>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5</w:t>
            </w:r>
          </w:p>
          <w:p w14:paraId="1A3346EE">
            <w:pPr>
              <w:widowControl/>
              <w:textAlignment w:val="center"/>
              <w:rPr>
                <w:rFonts w:hint="eastAsia" w:ascii="宋体" w:hAnsi="宋体" w:eastAsia="宋体" w:cs="宋体"/>
                <w:color w:val="auto"/>
                <w:kern w:val="0"/>
                <w:sz w:val="21"/>
                <w:szCs w:val="21"/>
                <w:lang w:bidi="ar"/>
              </w:rPr>
            </w:pPr>
          </w:p>
        </w:tc>
        <w:tc>
          <w:tcPr>
            <w:tcW w:w="833" w:type="dxa"/>
            <w:vMerge w:val="restart"/>
            <w:noWrap w:val="0"/>
            <w:vAlign w:val="center"/>
          </w:tcPr>
          <w:p w14:paraId="6B18433D">
            <w:pPr>
              <w:widowControl/>
              <w:jc w:val="center"/>
              <w:textAlignment w:val="center"/>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门锁</w:t>
            </w:r>
          </w:p>
        </w:tc>
        <w:tc>
          <w:tcPr>
            <w:tcW w:w="5205" w:type="dxa"/>
            <w:noWrap w:val="0"/>
            <w:vAlign w:val="center"/>
          </w:tcPr>
          <w:p w14:paraId="420C7F13">
            <w:pPr>
              <w:widowControl/>
              <w:jc w:val="center"/>
              <w:textAlignment w:val="center"/>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w:t>
            </w:r>
          </w:p>
        </w:tc>
        <w:tc>
          <w:tcPr>
            <w:tcW w:w="390" w:type="dxa"/>
            <w:noWrap w:val="0"/>
            <w:vAlign w:val="center"/>
          </w:tcPr>
          <w:p w14:paraId="5787E0A4">
            <w:pPr>
              <w:widowControl/>
              <w:jc w:val="center"/>
              <w:textAlignment w:val="center"/>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 xml:space="preserve">2 </w:t>
            </w:r>
          </w:p>
        </w:tc>
        <w:tc>
          <w:tcPr>
            <w:tcW w:w="600" w:type="dxa"/>
            <w:noWrap w:val="0"/>
            <w:vAlign w:val="center"/>
          </w:tcPr>
          <w:p w14:paraId="1E04331D">
            <w:pPr>
              <w:widowControl/>
              <w:jc w:val="center"/>
              <w:textAlignment w:val="center"/>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套</w:t>
            </w:r>
          </w:p>
        </w:tc>
        <w:tc>
          <w:tcPr>
            <w:tcW w:w="1494" w:type="dxa"/>
            <w:noWrap w:val="0"/>
            <w:vAlign w:val="center"/>
          </w:tcPr>
          <w:p w14:paraId="2FD8772C">
            <w:pPr>
              <w:widowControl/>
              <w:jc w:val="center"/>
              <w:textAlignment w:val="center"/>
              <w:rPr>
                <w:rFonts w:hint="eastAsia" w:ascii="宋体" w:hAnsi="宋体" w:eastAsia="宋体" w:cs="宋体"/>
                <w:color w:val="auto"/>
                <w:kern w:val="0"/>
                <w:sz w:val="21"/>
                <w:szCs w:val="21"/>
                <w:lang w:bidi="ar"/>
              </w:rPr>
            </w:pPr>
            <w:r>
              <w:rPr>
                <w:rFonts w:hint="eastAsia" w:ascii="宋体" w:hAnsi="宋体" w:eastAsia="宋体" w:cs="宋体"/>
                <w:bCs/>
                <w:color w:val="auto"/>
                <w:sz w:val="21"/>
                <w:szCs w:val="21"/>
              </w:rPr>
              <w:t>双门磁力锁</w:t>
            </w:r>
          </w:p>
        </w:tc>
      </w:tr>
      <w:tr w14:paraId="24DB3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406" w:type="dxa"/>
            <w:vMerge w:val="continue"/>
            <w:noWrap w:val="0"/>
            <w:vAlign w:val="center"/>
          </w:tcPr>
          <w:p w14:paraId="5B8A8553">
            <w:pPr>
              <w:widowControl/>
              <w:jc w:val="center"/>
              <w:textAlignment w:val="center"/>
              <w:rPr>
                <w:rFonts w:hint="eastAsia" w:ascii="宋体" w:hAnsi="宋体" w:eastAsia="宋体" w:cs="宋体"/>
                <w:color w:val="auto"/>
                <w:kern w:val="0"/>
                <w:sz w:val="21"/>
                <w:szCs w:val="21"/>
                <w:lang w:bidi="ar"/>
              </w:rPr>
            </w:pPr>
          </w:p>
        </w:tc>
        <w:tc>
          <w:tcPr>
            <w:tcW w:w="833" w:type="dxa"/>
            <w:vMerge w:val="continue"/>
            <w:noWrap w:val="0"/>
            <w:vAlign w:val="center"/>
          </w:tcPr>
          <w:p w14:paraId="31666652">
            <w:pPr>
              <w:widowControl/>
              <w:jc w:val="center"/>
              <w:textAlignment w:val="center"/>
              <w:rPr>
                <w:rFonts w:hint="eastAsia" w:ascii="宋体" w:hAnsi="宋体" w:eastAsia="宋体" w:cs="宋体"/>
                <w:color w:val="auto"/>
                <w:kern w:val="0"/>
                <w:sz w:val="21"/>
                <w:szCs w:val="21"/>
                <w:lang w:bidi="ar"/>
              </w:rPr>
            </w:pPr>
          </w:p>
        </w:tc>
        <w:tc>
          <w:tcPr>
            <w:tcW w:w="5205" w:type="dxa"/>
            <w:noWrap w:val="0"/>
            <w:vAlign w:val="center"/>
          </w:tcPr>
          <w:p w14:paraId="36316DCD">
            <w:pPr>
              <w:widowControl/>
              <w:jc w:val="center"/>
              <w:textAlignment w:val="center"/>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w:t>
            </w:r>
          </w:p>
        </w:tc>
        <w:tc>
          <w:tcPr>
            <w:tcW w:w="390" w:type="dxa"/>
            <w:noWrap w:val="0"/>
            <w:vAlign w:val="center"/>
          </w:tcPr>
          <w:p w14:paraId="278B0163">
            <w:pPr>
              <w:widowControl/>
              <w:jc w:val="center"/>
              <w:textAlignment w:val="center"/>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 xml:space="preserve">4 </w:t>
            </w:r>
          </w:p>
        </w:tc>
        <w:tc>
          <w:tcPr>
            <w:tcW w:w="600" w:type="dxa"/>
            <w:noWrap w:val="0"/>
            <w:vAlign w:val="center"/>
          </w:tcPr>
          <w:p w14:paraId="1C8C1F7A">
            <w:pPr>
              <w:widowControl/>
              <w:jc w:val="center"/>
              <w:textAlignment w:val="center"/>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个</w:t>
            </w:r>
          </w:p>
        </w:tc>
        <w:tc>
          <w:tcPr>
            <w:tcW w:w="1494" w:type="dxa"/>
            <w:noWrap w:val="0"/>
            <w:vAlign w:val="center"/>
          </w:tcPr>
          <w:p w14:paraId="3B238E62">
            <w:pPr>
              <w:widowControl/>
              <w:jc w:val="center"/>
              <w:textAlignment w:val="center"/>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门禁锁</w:t>
            </w:r>
          </w:p>
        </w:tc>
      </w:tr>
      <w:tr w14:paraId="4C861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7CC72060">
            <w:pPr>
              <w:widowControl/>
              <w:jc w:val="center"/>
              <w:textAlignment w:val="center"/>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6</w:t>
            </w:r>
          </w:p>
        </w:tc>
        <w:tc>
          <w:tcPr>
            <w:tcW w:w="833" w:type="dxa"/>
            <w:noWrap w:val="0"/>
            <w:vAlign w:val="center"/>
          </w:tcPr>
          <w:p w14:paraId="2224EB11">
            <w:pPr>
              <w:widowControl/>
              <w:jc w:val="center"/>
              <w:textAlignment w:val="center"/>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面部识别门禁机</w:t>
            </w:r>
          </w:p>
        </w:tc>
        <w:tc>
          <w:tcPr>
            <w:tcW w:w="5205" w:type="dxa"/>
            <w:noWrap w:val="0"/>
            <w:vAlign w:val="center"/>
          </w:tcPr>
          <w:p w14:paraId="3EB83836">
            <w:pPr>
              <w:spacing w:line="360" w:lineRule="auto"/>
              <w:jc w:val="left"/>
              <w:rPr>
                <w:rFonts w:hint="eastAsia" w:ascii="宋体" w:hAnsi="宋体" w:eastAsia="宋体" w:cs="宋体"/>
                <w:bCs/>
                <w:color w:val="auto"/>
                <w:sz w:val="21"/>
                <w:szCs w:val="21"/>
              </w:rPr>
            </w:pPr>
            <w:r>
              <w:rPr>
                <w:rFonts w:hint="eastAsia" w:ascii="宋体" w:hAnsi="宋体" w:eastAsia="宋体" w:cs="宋体"/>
                <w:bCs/>
                <w:color w:val="auto"/>
                <w:sz w:val="21"/>
                <w:szCs w:val="21"/>
              </w:rPr>
              <w:t>1、人脸门禁设备应采用8英寸IPS触摸液晶显示屏，分辨率不低于1280*800</w:t>
            </w:r>
          </w:p>
          <w:p w14:paraId="26DEDB63">
            <w:pPr>
              <w:spacing w:line="360" w:lineRule="auto"/>
              <w:jc w:val="left"/>
              <w:rPr>
                <w:rFonts w:hint="eastAsia" w:ascii="宋体" w:hAnsi="宋体" w:eastAsia="宋体" w:cs="宋体"/>
                <w:bCs/>
                <w:color w:val="auto"/>
                <w:sz w:val="21"/>
                <w:szCs w:val="21"/>
              </w:rPr>
            </w:pPr>
            <w:r>
              <w:rPr>
                <w:rFonts w:hint="eastAsia" w:ascii="宋体" w:hAnsi="宋体" w:eastAsia="宋体" w:cs="宋体"/>
                <w:bCs/>
                <w:color w:val="auto"/>
                <w:sz w:val="21"/>
                <w:szCs w:val="21"/>
              </w:rPr>
              <w:t>2、设备支持实时人脸检测，识别速度≤0.3s，人脸比对识别率≥99%。设备支持1:1比对和1:N人脸识别，支持最远2m识别人脸，最远人脸识别距离可调整。</w:t>
            </w:r>
          </w:p>
          <w:p w14:paraId="35811168">
            <w:pPr>
              <w:spacing w:line="360" w:lineRule="auto"/>
              <w:jc w:val="left"/>
              <w:rPr>
                <w:rFonts w:hint="eastAsia" w:ascii="宋体" w:hAnsi="宋体" w:eastAsia="宋体" w:cs="宋体"/>
                <w:bCs/>
                <w:color w:val="auto"/>
                <w:sz w:val="21"/>
                <w:szCs w:val="21"/>
              </w:rPr>
            </w:pPr>
            <w:r>
              <w:rPr>
                <w:rFonts w:hint="eastAsia" w:ascii="宋体" w:hAnsi="宋体" w:eastAsia="宋体" w:cs="宋体"/>
                <w:bCs/>
                <w:color w:val="auto"/>
                <w:sz w:val="21"/>
                <w:szCs w:val="21"/>
              </w:rPr>
              <w:t>▲3、设备支持活体防伪检测，采用双目光电硬件+活体识别算法,对打印高清人脸图片、照片、人脸图像视频以及各种材料面具的攻击，具有较强的防伪能力。使用照片或视频应不能进行有效识别。（提供公安部检验报告复印件并加盖原厂公章证明）</w:t>
            </w:r>
          </w:p>
          <w:p w14:paraId="294A51A9">
            <w:pPr>
              <w:spacing w:line="360" w:lineRule="auto"/>
              <w:jc w:val="left"/>
              <w:rPr>
                <w:rFonts w:hint="eastAsia" w:ascii="宋体" w:hAnsi="宋体" w:eastAsia="宋体" w:cs="宋体"/>
                <w:bCs/>
                <w:color w:val="auto"/>
                <w:sz w:val="21"/>
                <w:szCs w:val="21"/>
              </w:rPr>
            </w:pPr>
            <w:r>
              <w:rPr>
                <w:rFonts w:hint="eastAsia" w:ascii="宋体" w:hAnsi="宋体" w:eastAsia="宋体" w:cs="宋体"/>
                <w:bCs/>
                <w:color w:val="auto"/>
                <w:sz w:val="21"/>
                <w:szCs w:val="21"/>
              </w:rPr>
              <w:t>4、设备应配备不小于200万像素的超低照度宽动态摄像头，可在逆光、阴影等环境下快速识别，支持50000 lux极端光照环境下清晰准确的识别人脸</w:t>
            </w:r>
          </w:p>
          <w:p w14:paraId="6372E5BC">
            <w:pPr>
              <w:spacing w:line="360" w:lineRule="auto"/>
              <w:jc w:val="left"/>
              <w:rPr>
                <w:rFonts w:hint="eastAsia" w:ascii="宋体" w:hAnsi="宋体" w:eastAsia="宋体" w:cs="宋体"/>
                <w:bCs/>
                <w:color w:val="auto"/>
                <w:sz w:val="21"/>
                <w:szCs w:val="21"/>
              </w:rPr>
            </w:pPr>
            <w:r>
              <w:rPr>
                <w:rFonts w:hint="eastAsia" w:ascii="宋体" w:hAnsi="宋体" w:eastAsia="宋体" w:cs="宋体"/>
                <w:bCs/>
                <w:color w:val="auto"/>
                <w:sz w:val="21"/>
                <w:szCs w:val="21"/>
              </w:rPr>
              <w:t>5、设备用户容量:≥50000人，禁止名单容量:≥500人，面部容量:≥50000人，卡容量:≥30000张，离线保存记录容量:≥150000条，并支持扩容</w:t>
            </w:r>
          </w:p>
          <w:p w14:paraId="65347F3F">
            <w:pPr>
              <w:spacing w:line="360" w:lineRule="auto"/>
              <w:jc w:val="left"/>
              <w:rPr>
                <w:rFonts w:hint="eastAsia" w:ascii="宋体" w:hAnsi="宋体" w:eastAsia="宋体" w:cs="宋体"/>
                <w:color w:val="auto"/>
                <w:kern w:val="0"/>
                <w:sz w:val="21"/>
                <w:szCs w:val="21"/>
                <w:lang w:bidi="ar"/>
              </w:rPr>
            </w:pPr>
            <w:r>
              <w:rPr>
                <w:rFonts w:hint="eastAsia" w:ascii="宋体" w:hAnsi="宋体" w:eastAsia="宋体" w:cs="宋体"/>
                <w:bCs/>
                <w:color w:val="auto"/>
                <w:sz w:val="21"/>
                <w:szCs w:val="21"/>
              </w:rPr>
              <w:t>6、、设备应支持RS232通信、继电器输出、报警输出、辅助输入，支持连接出门开关、门磁、报警器、烟感探测器、打印机等；</w:t>
            </w:r>
          </w:p>
        </w:tc>
        <w:tc>
          <w:tcPr>
            <w:tcW w:w="390" w:type="dxa"/>
            <w:noWrap w:val="0"/>
            <w:vAlign w:val="center"/>
          </w:tcPr>
          <w:p w14:paraId="4DF9CB4A">
            <w:pPr>
              <w:widowControl/>
              <w:jc w:val="center"/>
              <w:textAlignment w:val="center"/>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 xml:space="preserve">2 </w:t>
            </w:r>
          </w:p>
        </w:tc>
        <w:tc>
          <w:tcPr>
            <w:tcW w:w="600" w:type="dxa"/>
            <w:noWrap w:val="0"/>
            <w:vAlign w:val="center"/>
          </w:tcPr>
          <w:p w14:paraId="1DEB3D25">
            <w:pPr>
              <w:widowControl/>
              <w:jc w:val="center"/>
              <w:textAlignment w:val="center"/>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台</w:t>
            </w:r>
          </w:p>
        </w:tc>
        <w:tc>
          <w:tcPr>
            <w:tcW w:w="1494" w:type="dxa"/>
            <w:noWrap w:val="0"/>
            <w:vAlign w:val="center"/>
          </w:tcPr>
          <w:p w14:paraId="61495B34">
            <w:pPr>
              <w:widowControl/>
              <w:jc w:val="center"/>
              <w:textAlignment w:val="center"/>
              <w:rPr>
                <w:rFonts w:hint="eastAsia" w:ascii="宋体" w:hAnsi="宋体" w:eastAsia="宋体" w:cs="宋体"/>
                <w:color w:val="auto"/>
                <w:kern w:val="0"/>
                <w:sz w:val="21"/>
                <w:szCs w:val="21"/>
                <w:lang w:bidi="ar"/>
              </w:rPr>
            </w:pPr>
          </w:p>
        </w:tc>
      </w:tr>
      <w:tr w14:paraId="27C6E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 w:type="dxa"/>
            <w:noWrap w:val="0"/>
            <w:vAlign w:val="center"/>
          </w:tcPr>
          <w:p w14:paraId="4A3AC0BF">
            <w:pPr>
              <w:widowControl/>
              <w:jc w:val="center"/>
              <w:textAlignment w:val="center"/>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7</w:t>
            </w:r>
          </w:p>
        </w:tc>
        <w:tc>
          <w:tcPr>
            <w:tcW w:w="833" w:type="dxa"/>
            <w:noWrap w:val="0"/>
            <w:vAlign w:val="center"/>
          </w:tcPr>
          <w:p w14:paraId="1F7C5A9D">
            <w:pPr>
              <w:widowControl/>
              <w:jc w:val="center"/>
              <w:textAlignment w:val="center"/>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辅材</w:t>
            </w:r>
          </w:p>
        </w:tc>
        <w:tc>
          <w:tcPr>
            <w:tcW w:w="5205" w:type="dxa"/>
            <w:noWrap w:val="0"/>
            <w:vAlign w:val="center"/>
          </w:tcPr>
          <w:p w14:paraId="3BDE7DA4">
            <w:pPr>
              <w:widowControl/>
              <w:jc w:val="left"/>
              <w:textAlignment w:val="center"/>
              <w:rPr>
                <w:rFonts w:hint="eastAsia" w:ascii="宋体" w:hAnsi="宋体" w:eastAsia="宋体" w:cs="宋体"/>
                <w:color w:val="auto"/>
                <w:kern w:val="0"/>
                <w:sz w:val="21"/>
                <w:szCs w:val="21"/>
                <w:lang w:bidi="ar"/>
              </w:rPr>
            </w:pPr>
          </w:p>
        </w:tc>
        <w:tc>
          <w:tcPr>
            <w:tcW w:w="390" w:type="dxa"/>
            <w:noWrap w:val="0"/>
            <w:vAlign w:val="center"/>
          </w:tcPr>
          <w:p w14:paraId="5629F569">
            <w:pPr>
              <w:widowControl/>
              <w:jc w:val="center"/>
              <w:textAlignment w:val="center"/>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 xml:space="preserve">1 </w:t>
            </w:r>
          </w:p>
        </w:tc>
        <w:tc>
          <w:tcPr>
            <w:tcW w:w="600" w:type="dxa"/>
            <w:noWrap w:val="0"/>
            <w:vAlign w:val="center"/>
          </w:tcPr>
          <w:p w14:paraId="56B8EAE6">
            <w:pPr>
              <w:widowControl/>
              <w:jc w:val="center"/>
              <w:textAlignment w:val="center"/>
              <w:rPr>
                <w:rFonts w:hint="eastAsia" w:ascii="宋体" w:hAnsi="宋体" w:eastAsia="宋体" w:cs="宋体"/>
                <w:color w:val="auto"/>
                <w:kern w:val="0"/>
                <w:sz w:val="21"/>
                <w:szCs w:val="21"/>
                <w:lang w:bidi="ar"/>
              </w:rPr>
            </w:pPr>
            <w:r>
              <w:rPr>
                <w:rFonts w:hint="eastAsia" w:ascii="宋体" w:hAnsi="宋体" w:eastAsia="宋体" w:cs="宋体"/>
                <w:color w:val="auto"/>
                <w:kern w:val="0"/>
                <w:sz w:val="21"/>
                <w:szCs w:val="21"/>
                <w:lang w:bidi="ar"/>
              </w:rPr>
              <w:t>项</w:t>
            </w:r>
          </w:p>
        </w:tc>
        <w:tc>
          <w:tcPr>
            <w:tcW w:w="1494" w:type="dxa"/>
            <w:noWrap w:val="0"/>
            <w:vAlign w:val="center"/>
          </w:tcPr>
          <w:p w14:paraId="3686B778">
            <w:pPr>
              <w:widowControl/>
              <w:jc w:val="center"/>
              <w:textAlignment w:val="center"/>
              <w:rPr>
                <w:rFonts w:hint="eastAsia" w:ascii="宋体" w:hAnsi="宋体" w:eastAsia="宋体" w:cs="宋体"/>
                <w:color w:val="auto"/>
                <w:kern w:val="0"/>
                <w:sz w:val="21"/>
                <w:szCs w:val="21"/>
                <w:lang w:bidi="ar"/>
              </w:rPr>
            </w:pPr>
          </w:p>
        </w:tc>
      </w:tr>
    </w:tbl>
    <w:p w14:paraId="20B86E5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四、商务要求</w:t>
      </w:r>
    </w:p>
    <w:p w14:paraId="1C2D16FC">
      <w:pPr>
        <w:pStyle w:val="17"/>
        <w:spacing w:line="360" w:lineRule="auto"/>
        <w:ind w:firstLineChars="200"/>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（一）服务期限：</w:t>
      </w:r>
      <w:r>
        <w:rPr>
          <w:rFonts w:hint="eastAsia" w:ascii="宋体" w:hAnsi="宋体" w:eastAsia="宋体" w:cs="宋体"/>
          <w:sz w:val="21"/>
          <w:szCs w:val="21"/>
        </w:rPr>
        <w:t>合同签订后30日内完成供货、安装、调试并交付验收。</w:t>
      </w:r>
    </w:p>
    <w:p w14:paraId="695DD467">
      <w:pPr>
        <w:pStyle w:val="17"/>
        <w:spacing w:line="360" w:lineRule="auto"/>
        <w:ind w:firstLineChars="200"/>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（二）交付地点：</w:t>
      </w:r>
      <w:bookmarkStart w:id="0" w:name="_Toc28873"/>
      <w:bookmarkStart w:id="1" w:name="_Toc32156"/>
      <w:bookmarkStart w:id="2" w:name="_Toc25791"/>
      <w:r>
        <w:rPr>
          <w:rFonts w:hint="eastAsia" w:ascii="宋体" w:hAnsi="宋体" w:eastAsia="宋体" w:cs="宋体"/>
          <w:color w:val="000000"/>
          <w:kern w:val="2"/>
          <w:sz w:val="21"/>
          <w:szCs w:val="21"/>
        </w:rPr>
        <w:t>采购人指定地点</w:t>
      </w:r>
    </w:p>
    <w:p w14:paraId="78E550C4">
      <w:pPr>
        <w:pStyle w:val="17"/>
        <w:spacing w:line="360" w:lineRule="auto"/>
        <w:ind w:firstLineChars="200"/>
        <w:rPr>
          <w:rFonts w:hint="eastAsia" w:ascii="宋体" w:hAnsi="宋体" w:eastAsia="宋体" w:cs="宋体"/>
          <w:sz w:val="21"/>
          <w:szCs w:val="21"/>
        </w:rPr>
      </w:pPr>
      <w:r>
        <w:rPr>
          <w:rFonts w:hint="eastAsia" w:ascii="宋体" w:hAnsi="宋体" w:eastAsia="宋体" w:cs="宋体"/>
          <w:sz w:val="21"/>
          <w:szCs w:val="21"/>
        </w:rPr>
        <w:t>（三）</w:t>
      </w:r>
      <w:bookmarkEnd w:id="0"/>
      <w:bookmarkEnd w:id="1"/>
      <w:bookmarkEnd w:id="2"/>
      <w:r>
        <w:rPr>
          <w:rFonts w:hint="eastAsia" w:ascii="宋体" w:hAnsi="宋体" w:eastAsia="宋体" w:cs="宋体"/>
          <w:sz w:val="21"/>
          <w:szCs w:val="21"/>
        </w:rPr>
        <w:t>供货要求：</w:t>
      </w:r>
    </w:p>
    <w:p w14:paraId="38448C37">
      <w:pPr>
        <w:pStyle w:val="15"/>
        <w:numPr>
          <w:ilvl w:val="0"/>
          <w:numId w:val="3"/>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货物为原制造商制造的全新产品，整机无污染，无侵权行为、表面无划损、无任何缺陷隐患，在中国境内可依常规安全合法使用；</w:t>
      </w:r>
    </w:p>
    <w:p w14:paraId="426F2742">
      <w:pPr>
        <w:pStyle w:val="15"/>
        <w:numPr>
          <w:ilvl w:val="0"/>
          <w:numId w:val="3"/>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货物为原厂商未启封全新包装，具出厂合格证，序列号、包装箱号与出厂批号一致，并可追索查阅。所有设备的附件必须齐全；</w:t>
      </w:r>
    </w:p>
    <w:p w14:paraId="6D464890">
      <w:pPr>
        <w:pStyle w:val="15"/>
        <w:numPr>
          <w:ilvl w:val="0"/>
          <w:numId w:val="3"/>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有关键主机设备的用户手册、保修手册、有关单证资料及配备件、随机工具等，使用操作及安全须知等重要资料应附有中文说明。</w:t>
      </w:r>
    </w:p>
    <w:p w14:paraId="438BBA70">
      <w:pPr>
        <w:pStyle w:val="15"/>
        <w:numPr>
          <w:ilvl w:val="0"/>
          <w:numId w:val="3"/>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所供货物及服务应符合采购文件中所述的标准。</w:t>
      </w:r>
    </w:p>
    <w:p w14:paraId="70407E6E">
      <w:pPr>
        <w:pStyle w:val="15"/>
        <w:numPr>
          <w:ilvl w:val="0"/>
          <w:numId w:val="3"/>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成交供应商负责将货物材料货到现场过程中的全部运输，包括装卸车、货物现场的搬运。</w:t>
      </w:r>
    </w:p>
    <w:p w14:paraId="37A92926">
      <w:pPr>
        <w:pStyle w:val="15"/>
        <w:numPr>
          <w:ilvl w:val="0"/>
          <w:numId w:val="3"/>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各种货物产品必须提供装箱清单，将按装箱清单验收货物。</w:t>
      </w:r>
    </w:p>
    <w:p w14:paraId="21E6DFDF">
      <w:pPr>
        <w:pStyle w:val="15"/>
        <w:numPr>
          <w:ilvl w:val="0"/>
          <w:numId w:val="3"/>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货物在现场的保管由成交供应商负责，直至项目安装、验收完毕。</w:t>
      </w:r>
    </w:p>
    <w:p w14:paraId="1E57448B">
      <w:pPr>
        <w:pStyle w:val="15"/>
        <w:numPr>
          <w:ilvl w:val="0"/>
          <w:numId w:val="3"/>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货物在系统安装调试验收合格前的保险由成交供应商负责，成交供应商负责其派出的现场服务人员人身意外保险。</w:t>
      </w:r>
    </w:p>
    <w:p w14:paraId="15879461">
      <w:pPr>
        <w:pStyle w:val="15"/>
        <w:numPr>
          <w:ilvl w:val="0"/>
          <w:numId w:val="3"/>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设备至采购人指定的使用现场的包装、保险及发运等环节和费用均由成交供应商负责。</w:t>
      </w:r>
    </w:p>
    <w:p w14:paraId="1E74C13C">
      <w:pPr>
        <w:pStyle w:val="15"/>
        <w:numPr>
          <w:ilvl w:val="0"/>
          <w:numId w:val="3"/>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必须依照采购文件的要求和响应文件的承诺，将设备、系统安装并调试至正常运行的最佳状态。</w:t>
      </w:r>
    </w:p>
    <w:p w14:paraId="12F76153">
      <w:pPr>
        <w:pStyle w:val="17"/>
        <w:spacing w:line="360" w:lineRule="auto"/>
        <w:ind w:left="420" w:firstLine="0"/>
        <w:rPr>
          <w:rFonts w:hint="eastAsia" w:ascii="宋体" w:hAnsi="宋体" w:eastAsia="宋体" w:cs="宋体"/>
          <w:sz w:val="21"/>
          <w:szCs w:val="21"/>
        </w:rPr>
      </w:pPr>
      <w:bookmarkStart w:id="3" w:name="_Toc13181"/>
      <w:bookmarkStart w:id="4" w:name="_Toc1420"/>
      <w:bookmarkStart w:id="5" w:name="_Toc9499"/>
      <w:r>
        <w:rPr>
          <w:rFonts w:hint="eastAsia" w:ascii="宋体" w:hAnsi="宋体" w:eastAsia="宋体" w:cs="宋体"/>
          <w:sz w:val="21"/>
          <w:szCs w:val="21"/>
        </w:rPr>
        <w:t>（四）</w:t>
      </w:r>
      <w:bookmarkEnd w:id="3"/>
      <w:bookmarkEnd w:id="4"/>
      <w:bookmarkEnd w:id="5"/>
      <w:bookmarkStart w:id="6" w:name="_Toc19154"/>
      <w:r>
        <w:rPr>
          <w:rFonts w:hint="eastAsia" w:ascii="宋体" w:hAnsi="宋体" w:eastAsia="宋体" w:cs="宋体"/>
          <w:sz w:val="21"/>
          <w:szCs w:val="21"/>
        </w:rPr>
        <w:t>售后服务要求</w:t>
      </w:r>
      <w:bookmarkEnd w:id="6"/>
      <w:r>
        <w:rPr>
          <w:rFonts w:hint="eastAsia" w:ascii="宋体" w:hAnsi="宋体" w:eastAsia="宋体" w:cs="宋体"/>
          <w:sz w:val="21"/>
          <w:szCs w:val="21"/>
        </w:rPr>
        <w:t>：</w:t>
      </w:r>
      <w:bookmarkStart w:id="7" w:name="_Toc13225"/>
    </w:p>
    <w:p w14:paraId="2CFC30E9">
      <w:pPr>
        <w:pStyle w:val="15"/>
        <w:numPr>
          <w:ilvl w:val="0"/>
          <w:numId w:val="4"/>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成交供应商应按照国家有关法律、法规、规章和“三包”规定以及响应承诺提供售后服务。售后服务及保修条件不得低于国家和行业主管部门制定的有关标准。</w:t>
      </w:r>
    </w:p>
    <w:p w14:paraId="2A8E98C3">
      <w:pPr>
        <w:pStyle w:val="15"/>
        <w:numPr>
          <w:ilvl w:val="0"/>
          <w:numId w:val="4"/>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 xml:space="preserve">所有耗材产品均需按生产厂商规定的保修期提供免费保修服务。 </w:t>
      </w:r>
    </w:p>
    <w:p w14:paraId="4B59BD96">
      <w:pPr>
        <w:pStyle w:val="15"/>
        <w:numPr>
          <w:ilvl w:val="0"/>
          <w:numId w:val="4"/>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本项目质量保证期（简称：质保期）3年，相关费用包含在响应报价中。质保期开始时间从项目通过采购人验收之日起计算。</w:t>
      </w:r>
      <w:r>
        <w:rPr>
          <w:rFonts w:hint="eastAsia" w:ascii="宋体" w:hAnsi="宋体" w:eastAsia="宋体" w:cs="宋体"/>
          <w:b/>
          <w:bCs/>
          <w:sz w:val="21"/>
          <w:szCs w:val="21"/>
        </w:rPr>
        <w:t>（提供承诺函,格式自拟）</w:t>
      </w:r>
    </w:p>
    <w:p w14:paraId="52DC7229">
      <w:pPr>
        <w:pStyle w:val="15"/>
        <w:numPr>
          <w:ilvl w:val="0"/>
          <w:numId w:val="4"/>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质保期内，非采购人人为原因出现的产品质量问题及安装问题，由成交供应商负责包修、包换或包退，并承担因此产生的一切费用。</w:t>
      </w:r>
    </w:p>
    <w:p w14:paraId="6CF7B716">
      <w:pPr>
        <w:pStyle w:val="15"/>
        <w:numPr>
          <w:ilvl w:val="0"/>
          <w:numId w:val="4"/>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成交供应商应提供全年365天，每周7*24小时的售后服务，成交供应商应配合采购人的工作安排，收到采购人报修电话后需15分钟内电话响应，报修后2小时内技术服务人员到达采购人故障设备所在地进行修复，技术服务人员不能在4小时内修复时，应马上安排其他技术服务人员上门维修，直至设备完全正常运行为止。</w:t>
      </w:r>
    </w:p>
    <w:p w14:paraId="6E3F8474">
      <w:pPr>
        <w:pStyle w:val="15"/>
        <w:numPr>
          <w:ilvl w:val="0"/>
          <w:numId w:val="4"/>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特殊情况下，供应商应响应采购人的需求，安排驻场技术服务人员24小时现场待命。</w:t>
      </w:r>
    </w:p>
    <w:p w14:paraId="6DCBB2FC">
      <w:pPr>
        <w:pStyle w:val="15"/>
        <w:numPr>
          <w:ilvl w:val="0"/>
          <w:numId w:val="4"/>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成交供应商提供以上基本服务的费用应己全部计入产品采购的报价中，成交供应商不得再向采购人收取任何费用。</w:t>
      </w:r>
    </w:p>
    <w:p w14:paraId="1A8B8E2A">
      <w:pPr>
        <w:pStyle w:val="9"/>
        <w:numPr>
          <w:ilvl w:val="0"/>
          <w:numId w:val="5"/>
        </w:numPr>
        <w:ind w:left="0"/>
        <w:rPr>
          <w:rFonts w:hint="eastAsia" w:ascii="宋体" w:hAnsi="宋体" w:eastAsia="宋体" w:cs="宋体"/>
          <w:kern w:val="0"/>
          <w:sz w:val="21"/>
          <w:szCs w:val="21"/>
        </w:rPr>
      </w:pPr>
      <w:r>
        <w:rPr>
          <w:rFonts w:hint="eastAsia" w:ascii="宋体" w:hAnsi="宋体" w:eastAsia="宋体" w:cs="宋体"/>
          <w:kern w:val="0"/>
          <w:sz w:val="21"/>
          <w:szCs w:val="21"/>
        </w:rPr>
        <w:t>验收要求：</w:t>
      </w:r>
    </w:p>
    <w:p w14:paraId="21A964B9">
      <w:pPr>
        <w:pStyle w:val="15"/>
        <w:numPr>
          <w:ilvl w:val="0"/>
          <w:numId w:val="6"/>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成交供应商需向采购人提交书面验收申请，并附系统及设备调试记录、自检报告等相关资料。采购人收到申请后，委托咨询单位依据国家相关标准、行业规范及采购合同约定组织履约验收工作。若验收过程中因货物质量问题产生争议，由项目所在地县级以上质量技术监督部门或其指定的具有资质的检测机构进行鉴定，鉴定费用先由成交供应商垫付。经鉴定，货物符合质量技术标准及合同约定的，鉴定费由采购人承担；不符合的，鉴定费由成交供应商承担，同时成交供应商需承担相应的整改责任。</w:t>
      </w:r>
    </w:p>
    <w:bookmarkEnd w:id="7"/>
    <w:p w14:paraId="1CC9DFEE">
      <w:pPr>
        <w:pStyle w:val="9"/>
        <w:numPr>
          <w:ilvl w:val="0"/>
          <w:numId w:val="5"/>
        </w:numPr>
        <w:ind w:left="0"/>
        <w:rPr>
          <w:rFonts w:hint="eastAsia" w:ascii="宋体" w:hAnsi="宋体" w:eastAsia="宋体" w:cs="宋体"/>
          <w:kern w:val="0"/>
          <w:sz w:val="21"/>
          <w:szCs w:val="21"/>
        </w:rPr>
      </w:pPr>
      <w:r>
        <w:rPr>
          <w:rFonts w:hint="eastAsia" w:ascii="宋体" w:hAnsi="宋体" w:eastAsia="宋体" w:cs="宋体"/>
          <w:kern w:val="0"/>
          <w:sz w:val="21"/>
          <w:szCs w:val="21"/>
        </w:rPr>
        <w:t>培训要求：</w:t>
      </w:r>
    </w:p>
    <w:p w14:paraId="1AA13F5D">
      <w:pPr>
        <w:pStyle w:val="15"/>
        <w:numPr>
          <w:ilvl w:val="0"/>
          <w:numId w:val="7"/>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 xml:space="preserve">在项目验收完成后，成交供应商应提供培训服务，提供专业技术人员对采购人使用人员和相关管理人员进行培训，保证两名以上操作人员熟练掌握操作技术为止。 </w:t>
      </w:r>
    </w:p>
    <w:p w14:paraId="6AC75626">
      <w:pPr>
        <w:pStyle w:val="15"/>
        <w:numPr>
          <w:ilvl w:val="0"/>
          <w:numId w:val="7"/>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 xml:space="preserve">成交供应商需制定详细的培训内容和培训计划。 </w:t>
      </w:r>
    </w:p>
    <w:p w14:paraId="5682D023">
      <w:pPr>
        <w:pStyle w:val="15"/>
        <w:numPr>
          <w:ilvl w:val="0"/>
          <w:numId w:val="7"/>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如遇系统升级更新，成交供应商需及时提供更新操作指导。</w:t>
      </w:r>
    </w:p>
    <w:p w14:paraId="04FB05D3">
      <w:pPr>
        <w:pStyle w:val="9"/>
        <w:numPr>
          <w:ilvl w:val="0"/>
          <w:numId w:val="5"/>
        </w:numPr>
        <w:ind w:left="0"/>
        <w:rPr>
          <w:rFonts w:hint="eastAsia" w:ascii="宋体" w:hAnsi="宋体" w:eastAsia="宋体" w:cs="宋体"/>
          <w:kern w:val="0"/>
          <w:sz w:val="21"/>
          <w:szCs w:val="21"/>
        </w:rPr>
      </w:pPr>
      <w:r>
        <w:rPr>
          <w:rFonts w:hint="eastAsia" w:ascii="宋体" w:hAnsi="宋体" w:eastAsia="宋体" w:cs="宋体"/>
          <w:kern w:val="0"/>
          <w:sz w:val="21"/>
          <w:szCs w:val="21"/>
        </w:rPr>
        <w:t>付款方式和条件：</w:t>
      </w:r>
    </w:p>
    <w:p w14:paraId="503A6E25">
      <w:pPr>
        <w:pStyle w:val="15"/>
        <w:numPr>
          <w:ilvl w:val="0"/>
          <w:numId w:val="8"/>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自项目验收完毕之日起30日内，成交供应商向采购人开具合法有效发票后，采购人支付合同金额100%款项。</w:t>
      </w:r>
    </w:p>
    <w:p w14:paraId="5D29E809">
      <w:pPr>
        <w:pStyle w:val="15"/>
        <w:numPr>
          <w:ilvl w:val="0"/>
          <w:numId w:val="8"/>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 xml:space="preserve">结算方式：转账结算（银行转账）。 </w:t>
      </w:r>
    </w:p>
    <w:p w14:paraId="6AE1839A">
      <w:pPr>
        <w:pStyle w:val="15"/>
        <w:numPr>
          <w:ilvl w:val="0"/>
          <w:numId w:val="8"/>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 xml:space="preserve">成交供应商凭以下有效文件与采购人结算： </w:t>
      </w:r>
    </w:p>
    <w:p w14:paraId="071DF883">
      <w:pPr>
        <w:pStyle w:val="17"/>
        <w:spacing w:line="360" w:lineRule="auto"/>
        <w:ind w:left="420" w:leftChars="200" w:firstLine="0"/>
        <w:rPr>
          <w:rFonts w:hint="eastAsia" w:ascii="宋体" w:hAnsi="宋体" w:eastAsia="宋体" w:cs="宋体"/>
          <w:sz w:val="21"/>
          <w:szCs w:val="21"/>
        </w:rPr>
      </w:pPr>
      <w:r>
        <w:rPr>
          <w:rFonts w:hint="eastAsia" w:ascii="宋体" w:hAnsi="宋体" w:eastAsia="宋体" w:cs="宋体"/>
          <w:sz w:val="21"/>
          <w:szCs w:val="21"/>
        </w:rPr>
        <w:t xml:space="preserve">（1）合同。 </w:t>
      </w:r>
    </w:p>
    <w:p w14:paraId="5F673B0C">
      <w:pPr>
        <w:pStyle w:val="17"/>
        <w:spacing w:line="360" w:lineRule="auto"/>
        <w:ind w:left="420" w:leftChars="200" w:firstLine="0"/>
        <w:rPr>
          <w:rFonts w:hint="eastAsia" w:ascii="宋体" w:hAnsi="宋体" w:eastAsia="宋体" w:cs="宋体"/>
          <w:sz w:val="21"/>
          <w:szCs w:val="21"/>
        </w:rPr>
      </w:pPr>
      <w:r>
        <w:rPr>
          <w:rFonts w:hint="eastAsia" w:ascii="宋体" w:hAnsi="宋体" w:eastAsia="宋体" w:cs="宋体"/>
          <w:sz w:val="21"/>
          <w:szCs w:val="21"/>
        </w:rPr>
        <w:t xml:space="preserve">（2）成交供应商开具的正式发票：成交供应商收款时必须持有效发票。收款方、出具发票方、合同乙方均必须与成交供应商名称一致。 </w:t>
      </w:r>
    </w:p>
    <w:p w14:paraId="6D0A7591">
      <w:pPr>
        <w:pStyle w:val="17"/>
        <w:spacing w:line="360" w:lineRule="auto"/>
        <w:ind w:left="420" w:leftChars="200" w:firstLine="0"/>
        <w:rPr>
          <w:rFonts w:hint="eastAsia" w:ascii="宋体" w:hAnsi="宋体" w:eastAsia="宋体" w:cs="宋体"/>
          <w:sz w:val="21"/>
          <w:szCs w:val="21"/>
        </w:rPr>
      </w:pPr>
      <w:r>
        <w:rPr>
          <w:rFonts w:hint="eastAsia" w:ascii="宋体" w:hAnsi="宋体" w:eastAsia="宋体" w:cs="宋体"/>
          <w:sz w:val="21"/>
          <w:szCs w:val="21"/>
        </w:rPr>
        <w:t>（3）验收报告。</w:t>
      </w:r>
    </w:p>
    <w:p w14:paraId="78767543">
      <w:pPr>
        <w:pStyle w:val="15"/>
        <w:numPr>
          <w:ilvl w:val="0"/>
          <w:numId w:val="8"/>
        </w:numPr>
        <w:spacing w:line="360" w:lineRule="auto"/>
        <w:ind w:left="420" w:leftChars="200"/>
        <w:rPr>
          <w:rFonts w:hint="eastAsia" w:ascii="宋体" w:hAnsi="宋体" w:eastAsia="宋体" w:cs="宋体"/>
          <w:sz w:val="21"/>
          <w:szCs w:val="21"/>
        </w:rPr>
      </w:pPr>
      <w:r>
        <w:rPr>
          <w:rFonts w:hint="eastAsia" w:ascii="宋体" w:hAnsi="宋体" w:eastAsia="宋体" w:cs="宋体"/>
          <w:sz w:val="21"/>
          <w:szCs w:val="21"/>
        </w:rPr>
        <w:t xml:space="preserve">因采购人使用的是财政资金，采购人在前款规定的付款时间为向政府采购支付部门提出办理财政支付申请手续的时间（不含政府财政支付部门审核的时间），在规定时间内提出支付申请手续后即视为采购人已经按期支付。 </w:t>
      </w:r>
    </w:p>
    <w:p w14:paraId="3DFF7A7E">
      <w:pPr>
        <w:pStyle w:val="15"/>
        <w:numPr>
          <w:ilvl w:val="0"/>
          <w:numId w:val="8"/>
        </w:numPr>
        <w:spacing w:line="360" w:lineRule="auto"/>
        <w:ind w:left="420" w:leftChars="200"/>
        <w:rPr>
          <w:rFonts w:hint="eastAsia" w:ascii="宋体" w:hAnsi="宋体" w:eastAsia="宋体" w:cs="宋体"/>
          <w:b/>
          <w:bCs/>
          <w:kern w:val="2"/>
          <w:sz w:val="21"/>
          <w:szCs w:val="21"/>
        </w:rPr>
      </w:pPr>
      <w:r>
        <w:rPr>
          <w:rFonts w:hint="eastAsia" w:ascii="宋体" w:hAnsi="宋体" w:eastAsia="宋体" w:cs="宋体"/>
          <w:sz w:val="21"/>
          <w:szCs w:val="21"/>
        </w:rPr>
        <w:t>付款期间如因特殊情况需调整，由双方协商处理。</w:t>
      </w:r>
    </w:p>
    <w:p w14:paraId="40D86F6E">
      <w:pPr>
        <w:keepNext/>
        <w:keepLines w:val="0"/>
        <w:pageBreakBefore/>
        <w:widowControl w:val="0"/>
        <w:kinsoku/>
        <w:wordWrap/>
        <w:overflowPunct/>
        <w:topLinePunct w:val="0"/>
        <w:autoSpaceDE/>
        <w:autoSpaceDN/>
        <w:bidi w:val="0"/>
        <w:adjustRightInd/>
        <w:snapToGrid/>
        <w:jc w:val="center"/>
        <w:textAlignment w:val="auto"/>
        <w:rPr>
          <w:rFonts w:hint="eastAsia" w:ascii="宋体" w:hAnsi="宋体" w:eastAsia="宋体" w:cs="宋体"/>
          <w:b/>
          <w:bCs/>
          <w:sz w:val="44"/>
          <w:szCs w:val="44"/>
        </w:rPr>
      </w:pPr>
      <w:r>
        <w:rPr>
          <w:rFonts w:hint="eastAsia" w:ascii="宋体" w:hAnsi="宋体" w:eastAsia="宋体" w:cs="宋体"/>
          <w:b/>
          <w:bCs/>
          <w:sz w:val="44"/>
          <w:szCs w:val="44"/>
        </w:rPr>
        <w:t>中小企业声明函（工程、服务）</w:t>
      </w:r>
    </w:p>
    <w:p w14:paraId="17BE8EFB">
      <w:pPr>
        <w:spacing w:line="360" w:lineRule="auto"/>
        <w:rPr>
          <w:rFonts w:hint="eastAsia" w:ascii="宋体" w:hAnsi="宋体" w:eastAsia="宋体" w:cs="宋体"/>
        </w:rPr>
      </w:pPr>
    </w:p>
    <w:p w14:paraId="4B6A88C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体中的中小企业、签订分包意向协议的中小企业）的具体情况如下：</w:t>
      </w:r>
    </w:p>
    <w:p w14:paraId="7EE8710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，属于（采购文件中明确的所属行业）；承建（承接）企业为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注：</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"_bookmark0"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lang w:eastAsia="zh-CN"/>
        </w:rPr>
        <w:t>）</w:t>
      </w:r>
      <w:r>
        <w:rPr>
          <w:rFonts w:hint="eastAsia" w:ascii="宋体" w:hAnsi="宋体" w:eastAsia="宋体" w:cs="宋体"/>
          <w:sz w:val="24"/>
          <w:szCs w:val="24"/>
        </w:rPr>
        <w:t>，属于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w:t>
      </w:r>
    </w:p>
    <w:p w14:paraId="504293CA">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，属于（采购文件中明确的所属行业）；承建（承接）企业为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注：</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"_bookmark0"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lang w:eastAsia="zh-CN"/>
        </w:rPr>
        <w:t>）</w:t>
      </w:r>
      <w:r>
        <w:rPr>
          <w:rFonts w:hint="eastAsia" w:ascii="宋体" w:hAnsi="宋体" w:eastAsia="宋体" w:cs="宋体"/>
          <w:sz w:val="24"/>
          <w:szCs w:val="24"/>
        </w:rPr>
        <w:t>，属于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lang w:val="en-US" w:eastAsia="zh-CN"/>
        </w:rPr>
        <w:t>；</w:t>
      </w:r>
    </w:p>
    <w:p w14:paraId="0E1EB67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w:t>
      </w:r>
    </w:p>
    <w:p w14:paraId="1CC0C7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以上企业，不属于大企业的分支机构，不存在控股股东为大企业的情形，也不存在与大企业的负责人为同一人的情形。</w:t>
      </w:r>
    </w:p>
    <w:p w14:paraId="746E89B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本企业对上述声明内容的真实性负责。如有虚假，将依法承担相应责任。</w:t>
      </w:r>
    </w:p>
    <w:p w14:paraId="150F3FA7">
      <w:pPr>
        <w:spacing w:line="360" w:lineRule="auto"/>
        <w:rPr>
          <w:rFonts w:hint="eastAsia" w:ascii="宋体" w:hAnsi="宋体" w:eastAsia="宋体" w:cs="宋体"/>
          <w:sz w:val="24"/>
          <w:szCs w:val="24"/>
        </w:rPr>
      </w:pPr>
    </w:p>
    <w:p w14:paraId="4D794FEE">
      <w:pPr>
        <w:spacing w:line="360" w:lineRule="auto"/>
        <w:ind w:firstLine="5760" w:firstLineChars="2400"/>
        <w:rPr>
          <w:rFonts w:hint="eastAsia" w:ascii="宋体" w:hAnsi="宋体" w:eastAsia="宋体" w:cs="宋体"/>
          <w:sz w:val="24"/>
          <w:szCs w:val="24"/>
        </w:rPr>
      </w:pPr>
      <w:r>
        <w:rPr>
          <w:rFonts w:hint="eastAsia" w:ascii="宋体" w:hAnsi="宋体" w:eastAsia="宋体" w:cs="宋体"/>
          <w:sz w:val="24"/>
          <w:szCs w:val="24"/>
        </w:rPr>
        <w:t>企业名称（盖章）：</w:t>
      </w:r>
    </w:p>
    <w:p w14:paraId="5FAD9E29">
      <w:pPr>
        <w:spacing w:line="360" w:lineRule="auto"/>
        <w:ind w:firstLine="5760" w:firstLineChars="2400"/>
        <w:rPr>
          <w:rFonts w:hint="eastAsia" w:ascii="宋体" w:hAnsi="宋体" w:eastAsia="宋体" w:cs="宋体"/>
          <w:sz w:val="24"/>
          <w:szCs w:val="24"/>
        </w:rPr>
      </w:pPr>
      <w:r>
        <w:rPr>
          <w:rFonts w:hint="eastAsia" w:ascii="宋体" w:hAnsi="宋体" w:eastAsia="宋体" w:cs="宋体"/>
          <w:sz w:val="24"/>
          <w:szCs w:val="24"/>
        </w:rPr>
        <w:t>日期：</w:t>
      </w:r>
    </w:p>
    <w:p w14:paraId="47E52E0F">
      <w:pPr>
        <w:adjustRightInd w:val="0"/>
        <w:snapToGrid w:val="0"/>
        <w:spacing w:line="360" w:lineRule="auto"/>
        <w:ind w:right="105" w:rightChars="50" w:firstLine="476" w:firstLineChars="227"/>
        <w:jc w:val="left"/>
        <w:rPr>
          <w:rFonts w:hint="eastAsia" w:ascii="宋体" w:hAnsi="宋体" w:eastAsia="宋体" w:cs="宋体"/>
          <w:szCs w:val="21"/>
        </w:rPr>
      </w:pPr>
    </w:p>
    <w:p w14:paraId="4BB700BA">
      <w:pPr>
        <w:pStyle w:val="15"/>
        <w:spacing w:line="360" w:lineRule="auto"/>
        <w:rPr>
          <w:rFonts w:hint="eastAsia" w:ascii="宋体" w:hAnsi="宋体" w:eastAsia="宋体" w:cs="宋体"/>
          <w:szCs w:val="21"/>
        </w:rPr>
      </w:pPr>
    </w:p>
    <w:p w14:paraId="1917A9BD">
      <w:pPr>
        <w:pStyle w:val="15"/>
        <w:spacing w:line="360" w:lineRule="auto"/>
        <w:rPr>
          <w:rFonts w:hint="eastAsia" w:ascii="宋体" w:hAnsi="宋体" w:eastAsia="宋体" w:cs="宋体"/>
          <w:szCs w:val="21"/>
        </w:rPr>
      </w:pPr>
    </w:p>
    <w:p w14:paraId="4300650B">
      <w:pPr>
        <w:pStyle w:val="15"/>
        <w:spacing w:line="360" w:lineRule="auto"/>
        <w:rPr>
          <w:rFonts w:hint="eastAsia" w:ascii="宋体" w:hAnsi="宋体" w:eastAsia="宋体" w:cs="宋体"/>
          <w:szCs w:val="21"/>
        </w:rPr>
      </w:pPr>
    </w:p>
    <w:p w14:paraId="771CFE14">
      <w:pPr>
        <w:spacing w:line="360" w:lineRule="auto"/>
        <w:rPr>
          <w:rFonts w:hint="eastAsia" w:ascii="宋体" w:hAnsi="宋体" w:eastAsia="宋体" w:cs="宋体"/>
        </w:rPr>
      </w:pPr>
      <w:r>
        <w:rPr>
          <w:rFonts w:hint="eastAsia" w:ascii="宋体" w:hAnsi="宋体" w:eastAsia="宋体" w:cs="宋体"/>
        </w:rPr>
        <w:t>注1：从业人员、营业收入、资产总额填报上一年度数据，无上一年度数据的新成立企业可不填报。</w:t>
      </w:r>
    </w:p>
    <w:p w14:paraId="458BCCF5">
      <w:pPr>
        <w:numPr>
          <w:ilvl w:val="0"/>
          <w:numId w:val="0"/>
        </w:numPr>
        <w:rPr>
          <w:rFonts w:hint="eastAsia" w:ascii="宋体" w:hAnsi="宋体" w:eastAsia="宋体" w:cs="宋体"/>
          <w:lang w:val="en-US" w:eastAsia="zh-CN"/>
        </w:rPr>
      </w:pPr>
    </w:p>
    <w:p w14:paraId="19F6F189">
      <w:pPr>
        <w:numPr>
          <w:ilvl w:val="0"/>
          <w:numId w:val="0"/>
        </w:numPr>
        <w:rPr>
          <w:rFonts w:hint="eastAsia" w:ascii="宋体" w:hAnsi="宋体" w:eastAsia="宋体" w:cs="宋体"/>
          <w:lang w:val="en-US" w:eastAsia="zh-CN"/>
        </w:rPr>
      </w:pPr>
    </w:p>
    <w:p w14:paraId="2B3F136C">
      <w:pPr>
        <w:numPr>
          <w:ilvl w:val="0"/>
          <w:numId w:val="0"/>
        </w:numPr>
        <w:rPr>
          <w:rFonts w:hint="eastAsia" w:ascii="宋体" w:hAnsi="宋体" w:eastAsia="宋体" w:cs="宋体"/>
          <w:lang w:val="en-US" w:eastAsia="zh-CN"/>
        </w:rPr>
      </w:pPr>
    </w:p>
    <w:p w14:paraId="3F00C055">
      <w:pPr>
        <w:numPr>
          <w:ilvl w:val="0"/>
          <w:numId w:val="0"/>
        </w:numPr>
        <w:rPr>
          <w:rFonts w:hint="eastAsia" w:ascii="宋体" w:hAnsi="宋体" w:eastAsia="宋体" w:cs="宋体"/>
          <w:lang w:val="en-US" w:eastAsia="zh-CN"/>
        </w:rPr>
      </w:pPr>
    </w:p>
    <w:p w14:paraId="5894486A">
      <w:pPr>
        <w:jc w:val="both"/>
        <w:rPr>
          <w:rFonts w:hint="eastAsia" w:ascii="宋体" w:hAnsi="宋体" w:eastAsia="宋体" w:cs="宋体"/>
          <w:b/>
          <w:bCs/>
          <w:sz w:val="44"/>
          <w:szCs w:val="44"/>
          <w:lang w:val="en-US" w:eastAsia="zh-CN"/>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 w:name="KSOFF9CBECC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D401B"/>
    <w:multiLevelType w:val="singleLevel"/>
    <w:tmpl w:val="80ED401B"/>
    <w:lvl w:ilvl="0" w:tentative="0">
      <w:start w:val="1"/>
      <w:numFmt w:val="decimal"/>
      <w:lvlText w:val="%1."/>
      <w:lvlJc w:val="left"/>
      <w:pPr>
        <w:ind w:left="425" w:hanging="425"/>
      </w:pPr>
      <w:rPr>
        <w:rFonts w:hint="default"/>
      </w:rPr>
    </w:lvl>
  </w:abstractNum>
  <w:abstractNum w:abstractNumId="1">
    <w:nsid w:val="8CFE754F"/>
    <w:multiLevelType w:val="singleLevel"/>
    <w:tmpl w:val="8CFE754F"/>
    <w:lvl w:ilvl="0" w:tentative="0">
      <w:start w:val="1"/>
      <w:numFmt w:val="decimal"/>
      <w:lvlText w:val="%1."/>
      <w:lvlJc w:val="left"/>
      <w:pPr>
        <w:ind w:left="425" w:hanging="425"/>
      </w:pPr>
      <w:rPr>
        <w:rFonts w:hint="default"/>
      </w:rPr>
    </w:lvl>
  </w:abstractNum>
  <w:abstractNum w:abstractNumId="2">
    <w:nsid w:val="DCF3DF25"/>
    <w:multiLevelType w:val="singleLevel"/>
    <w:tmpl w:val="DCF3DF25"/>
    <w:lvl w:ilvl="0" w:tentative="0">
      <w:start w:val="2"/>
      <w:numFmt w:val="chineseCounting"/>
      <w:suff w:val="nothing"/>
      <w:lvlText w:val="%1、"/>
      <w:lvlJc w:val="left"/>
      <w:rPr>
        <w:rFonts w:hint="eastAsia"/>
      </w:rPr>
    </w:lvl>
  </w:abstractNum>
  <w:abstractNum w:abstractNumId="3">
    <w:nsid w:val="F7A85BAA"/>
    <w:multiLevelType w:val="singleLevel"/>
    <w:tmpl w:val="F7A85BAA"/>
    <w:lvl w:ilvl="0" w:tentative="0">
      <w:start w:val="1"/>
      <w:numFmt w:val="decimal"/>
      <w:lvlText w:val="%1."/>
      <w:lvlJc w:val="left"/>
      <w:pPr>
        <w:ind w:left="425" w:hanging="425"/>
      </w:pPr>
      <w:rPr>
        <w:rFonts w:hint="default"/>
      </w:rPr>
    </w:lvl>
  </w:abstractNum>
  <w:abstractNum w:abstractNumId="4">
    <w:nsid w:val="FA124C04"/>
    <w:multiLevelType w:val="singleLevel"/>
    <w:tmpl w:val="FA124C04"/>
    <w:lvl w:ilvl="0" w:tentative="0">
      <w:start w:val="5"/>
      <w:numFmt w:val="chineseCounting"/>
      <w:suff w:val="nothing"/>
      <w:lvlText w:val="（%1）"/>
      <w:lvlJc w:val="left"/>
      <w:rPr>
        <w:rFonts w:hint="eastAsia"/>
      </w:rPr>
    </w:lvl>
  </w:abstractNum>
  <w:abstractNum w:abstractNumId="5">
    <w:nsid w:val="FBA62E20"/>
    <w:multiLevelType w:val="singleLevel"/>
    <w:tmpl w:val="FBA62E20"/>
    <w:lvl w:ilvl="0" w:tentative="0">
      <w:start w:val="1"/>
      <w:numFmt w:val="decimal"/>
      <w:lvlText w:val="%1."/>
      <w:lvlJc w:val="left"/>
      <w:pPr>
        <w:ind w:left="425" w:hanging="425"/>
      </w:pPr>
      <w:rPr>
        <w:rFonts w:hint="default"/>
      </w:rPr>
    </w:lvl>
  </w:abstractNum>
  <w:abstractNum w:abstractNumId="6">
    <w:nsid w:val="FFFFF051"/>
    <w:multiLevelType w:val="singleLevel"/>
    <w:tmpl w:val="FFFFF051"/>
    <w:lvl w:ilvl="0" w:tentative="0">
      <w:start w:val="1"/>
      <w:numFmt w:val="decimal"/>
      <w:lvlText w:val="%1."/>
      <w:lvlJc w:val="left"/>
      <w:pPr>
        <w:ind w:left="425" w:hanging="425"/>
      </w:pPr>
      <w:rPr>
        <w:rFonts w:hint="default"/>
      </w:rPr>
    </w:lvl>
  </w:abstractNum>
  <w:abstractNum w:abstractNumId="7">
    <w:nsid w:val="2D88709F"/>
    <w:multiLevelType w:val="singleLevel"/>
    <w:tmpl w:val="2D88709F"/>
    <w:lvl w:ilvl="0" w:tentative="0">
      <w:start w:val="1"/>
      <w:numFmt w:val="decimal"/>
      <w:lvlText w:val="%1."/>
      <w:lvlJc w:val="left"/>
      <w:pPr>
        <w:ind w:left="425" w:hanging="425"/>
      </w:pPr>
      <w:rPr>
        <w:rFonts w:hint="default"/>
      </w:rPr>
    </w:lvl>
  </w:abstractNum>
  <w:num w:numId="1">
    <w:abstractNumId w:val="2"/>
  </w:num>
  <w:num w:numId="2">
    <w:abstractNumId w:val="5"/>
  </w:num>
  <w:num w:numId="3">
    <w:abstractNumId w:val="3"/>
  </w:num>
  <w:num w:numId="4">
    <w:abstractNumId w:val="6"/>
  </w:num>
  <w:num w:numId="5">
    <w:abstractNumId w:val="4"/>
  </w:num>
  <w:num w:numId="6">
    <w:abstractNumId w:val="0"/>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C16C66"/>
    <w:rsid w:val="056A0DEE"/>
    <w:rsid w:val="06C16C66"/>
    <w:rsid w:val="08ED53DA"/>
    <w:rsid w:val="1A240D32"/>
    <w:rsid w:val="1AE801D6"/>
    <w:rsid w:val="1C8E5E18"/>
    <w:rsid w:val="1CB515F6"/>
    <w:rsid w:val="1D02393F"/>
    <w:rsid w:val="2B790267"/>
    <w:rsid w:val="32A41556"/>
    <w:rsid w:val="33FC6DA4"/>
    <w:rsid w:val="34F90A02"/>
    <w:rsid w:val="38F82780"/>
    <w:rsid w:val="392A6A70"/>
    <w:rsid w:val="3CC54C09"/>
    <w:rsid w:val="40131F31"/>
    <w:rsid w:val="43B962A8"/>
    <w:rsid w:val="4C2D26A8"/>
    <w:rsid w:val="55A27C63"/>
    <w:rsid w:val="571B7CCD"/>
    <w:rsid w:val="577B5680"/>
    <w:rsid w:val="579E26AC"/>
    <w:rsid w:val="594D07E5"/>
    <w:rsid w:val="5C207B33"/>
    <w:rsid w:val="5F5F103A"/>
    <w:rsid w:val="65EA3902"/>
    <w:rsid w:val="68CA4864"/>
    <w:rsid w:val="69286279"/>
    <w:rsid w:val="6BA22313"/>
    <w:rsid w:val="6DCD0AF3"/>
    <w:rsid w:val="72173058"/>
    <w:rsid w:val="78AA0A59"/>
    <w:rsid w:val="7C165D57"/>
    <w:rsid w:val="7CBE4AD3"/>
    <w:rsid w:val="7EA9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5">
    <w:name w:val="heading 4"/>
    <w:basedOn w:val="1"/>
    <w:next w:val="1"/>
    <w:qFormat/>
    <w:uiPriority w:val="0"/>
    <w:pPr>
      <w:keepNext/>
      <w:keepLines/>
      <w:outlineLvl w:val="3"/>
    </w:pPr>
    <w:rPr>
      <w:rFonts w:ascii="Arial" w:hAnsi="Arial" w:eastAsia="黑体"/>
      <w:bCs/>
      <w:kern w:val="0"/>
      <w:sz w:val="24"/>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line="360" w:lineRule="auto"/>
    </w:pPr>
    <w:rPr>
      <w:szCs w:val="20"/>
    </w:rPr>
  </w:style>
  <w:style w:type="paragraph" w:customStyle="1" w:styleId="3">
    <w:name w:val="_Style 2"/>
    <w:basedOn w:val="1"/>
    <w:next w:val="1"/>
    <w:qFormat/>
    <w:uiPriority w:val="0"/>
    <w:pPr>
      <w:wordWrap w:val="0"/>
      <w:spacing w:before="200"/>
      <w:ind w:left="864" w:right="864"/>
      <w:jc w:val="center"/>
    </w:pPr>
    <w:rPr>
      <w:i/>
    </w:rPr>
  </w:style>
  <w:style w:type="paragraph" w:styleId="6">
    <w:name w:val="caption"/>
    <w:basedOn w:val="1"/>
    <w:next w:val="1"/>
    <w:qFormat/>
    <w:uiPriority w:val="0"/>
    <w:rPr>
      <w:rFonts w:ascii="Arial" w:hAnsi="Arial" w:eastAsia="黑体" w:cs="Arial"/>
      <w:sz w:val="20"/>
      <w:szCs w:val="20"/>
    </w:rPr>
  </w:style>
  <w:style w:type="paragraph" w:styleId="7">
    <w:name w:val="Body Text Indent"/>
    <w:basedOn w:val="1"/>
    <w:qFormat/>
    <w:uiPriority w:val="0"/>
    <w:pPr>
      <w:spacing w:line="360" w:lineRule="auto"/>
      <w:ind w:left="425" w:firstLine="518" w:firstLineChars="216"/>
    </w:pPr>
    <w:rPr>
      <w:rFonts w:ascii="楷体_GB2312" w:eastAsia="楷体_GB2312"/>
      <w:sz w:val="24"/>
    </w:rPr>
  </w:style>
  <w:style w:type="paragraph" w:styleId="8">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paragraph" w:styleId="9">
    <w:name w:val="Body Text First Indent 2"/>
    <w:basedOn w:val="7"/>
    <w:unhideWhenUsed/>
    <w:qFormat/>
    <w:uiPriority w:val="99"/>
    <w:pPr>
      <w:ind w:firstLine="420" w:firstLineChars="200"/>
    </w:pPr>
  </w:style>
  <w:style w:type="character" w:styleId="12">
    <w:name w:val="Strong"/>
    <w:basedOn w:val="11"/>
    <w:qFormat/>
    <w:uiPriority w:val="0"/>
    <w:rPr>
      <w:b/>
    </w:rPr>
  </w:style>
  <w:style w:type="paragraph" w:customStyle="1" w:styleId="13">
    <w:name w:val="题注4"/>
    <w:basedOn w:val="1"/>
    <w:next w:val="6"/>
    <w:qFormat/>
    <w:uiPriority w:val="0"/>
    <w:pPr>
      <w:ind w:left="-132" w:leftChars="-64" w:right="-105" w:rightChars="-50" w:hanging="2"/>
      <w:jc w:val="center"/>
    </w:pPr>
    <w:rPr>
      <w:b/>
      <w:color w:val="FF0000"/>
      <w:szCs w:val="21"/>
      <w:lang w:val="en-GB"/>
    </w:rPr>
  </w:style>
  <w:style w:type="paragraph" w:customStyle="1" w:styleId="14">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15">
    <w:name w:val="正文正"/>
    <w:basedOn w:val="16"/>
    <w:qFormat/>
    <w:uiPriority w:val="0"/>
    <w:pPr>
      <w:spacing w:line="560" w:lineRule="exact"/>
      <w:ind w:firstLine="561"/>
    </w:pPr>
    <w:rPr>
      <w:rFonts w:eastAsia="仿宋_GB2312"/>
      <w:sz w:val="28"/>
      <w:szCs w:val="24"/>
    </w:rPr>
  </w:style>
  <w:style w:type="paragraph" w:customStyle="1" w:styleId="16">
    <w:name w:val="正文 New New New New New New New"/>
    <w:qFormat/>
    <w:uiPriority w:val="0"/>
    <w:pPr>
      <w:widowControl w:val="0"/>
      <w:autoSpaceDE w:val="0"/>
      <w:autoSpaceDN w:val="0"/>
      <w:adjustRightInd w:val="0"/>
    </w:pPr>
    <w:rPr>
      <w:rFonts w:ascii="宋体" w:hAnsi="Times New Roman" w:eastAsia="宋体" w:cs="Times New Roman"/>
      <w:sz w:val="24"/>
      <w:szCs w:val="24"/>
      <w:lang w:val="en-US" w:eastAsia="zh-CN" w:bidi="ar-SA"/>
    </w:rPr>
  </w:style>
  <w:style w:type="paragraph" w:customStyle="1" w:styleId="17">
    <w:name w:val="Normal Indent"/>
    <w:basedOn w:val="18"/>
    <w:qFormat/>
    <w:uiPriority w:val="0"/>
    <w:pPr>
      <w:widowControl/>
      <w:ind w:firstLine="420"/>
      <w:jc w:val="left"/>
    </w:pPr>
    <w:rPr>
      <w:rFonts w:ascii="Times New Roman" w:hAnsi="Times New Roman"/>
      <w:kern w:val="0"/>
      <w:szCs w:val="20"/>
    </w:rPr>
  </w:style>
  <w:style w:type="paragraph" w:customStyle="1" w:styleId="18">
    <w:name w:val="正文 New"/>
    <w:next w:val="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
    <w:name w:val="_Style 3"/>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20">
    <w:name w:val="NormalCharacter"/>
    <w:semiHidden/>
    <w:qFormat/>
    <w:uiPriority w:val="0"/>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3290</Words>
  <Characters>3405</Characters>
  <Lines>0</Lines>
  <Paragraphs>0</Paragraphs>
  <TotalTime>2</TotalTime>
  <ScaleCrop>false</ScaleCrop>
  <LinksUpToDate>false</LinksUpToDate>
  <CharactersWithSpaces>3484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2025-12-11T01:07:00Z</dcterms:created>
  <dc:creator>王俊</dc:creator>
  <cp:lastModifiedBy>Daishaoc</cp:lastModifiedBy>
  <cp:lastPrinted>2025-12-23T02:12:00Z</cp:lastPrinted>
  <dcterms:modified xsi:type="dcterms:W3CDTF">2026-06-16T01:35:05Z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9D346CCA2B51454A89756325F7B013BF_13</vt:lpwstr>
  </property>
  <property fmtid="{D5CDD505-2E9C-101B-9397-08002B2CF9AE}" pid="4" name="KSOTemplateDocerSaveRecord">
    <vt:lpwstr>eyJoZGlkIjoiZTNlZDExMmJiM2ZkMzVhN2RiNmY4ODI5OTQ0OTA1NmQiLCJ1c2VySWQiOiI2NTU3NzExNTAifQ==</vt:lpwstr>
  </property>
</Properties>
</file>