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电子竞价报价一览表</w:t>
      </w:r>
    </w:p>
    <w:p w14:paraId="389D527F">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电子询价项目名称：广东省人工影响天气水资源保障工程项目-火箭发射装置升级更新项目</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电子询价项目编号：2026-103-SGZX-DZX                                                        预算金额：¥240,000.00</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186"/>
        <w:gridCol w:w="9202"/>
        <w:gridCol w:w="1091"/>
        <w:gridCol w:w="688"/>
        <w:gridCol w:w="438"/>
        <w:gridCol w:w="840"/>
        <w:gridCol w:w="438"/>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25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广东省人工影响天气水资源保障工程项目-火箭发射装置升级更新项目</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E8354">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一、采购项目概况</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6763"/>
            </w:tblGrid>
            <w:tr w14:paraId="0983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97" w:type="dxa"/>
                  <w:noWrap w:val="0"/>
                  <w:vAlign w:val="center"/>
                </w:tcPr>
                <w:p w14:paraId="68E6D5D9">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项目名称</w:t>
                  </w:r>
                </w:p>
              </w:tc>
              <w:tc>
                <w:tcPr>
                  <w:tcW w:w="6422" w:type="dxa"/>
                  <w:noWrap w:val="0"/>
                  <w:vAlign w:val="center"/>
                </w:tcPr>
                <w:p w14:paraId="18115C99">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广东省人工影响天气水资源保障工程项目-火箭发射装置升级更新项目</w:t>
                  </w:r>
                </w:p>
              </w:tc>
            </w:tr>
            <w:tr w14:paraId="4DC05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097" w:type="dxa"/>
                  <w:noWrap w:val="0"/>
                  <w:vAlign w:val="center"/>
                </w:tcPr>
                <w:p w14:paraId="37782D6F">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项目编号</w:t>
                  </w:r>
                </w:p>
              </w:tc>
              <w:tc>
                <w:tcPr>
                  <w:tcW w:w="6422" w:type="dxa"/>
                  <w:noWrap w:val="0"/>
                  <w:vAlign w:val="center"/>
                </w:tcPr>
                <w:p w14:paraId="23B5C4EB">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2026-103-SGZX-DZX</w:t>
                  </w:r>
                </w:p>
              </w:tc>
            </w:tr>
            <w:tr w14:paraId="3F0E8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14:paraId="1EE161E8">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政府采购品目编码</w:t>
                  </w:r>
                </w:p>
              </w:tc>
              <w:tc>
                <w:tcPr>
                  <w:tcW w:w="6422" w:type="dxa"/>
                  <w:noWrap w:val="0"/>
                  <w:vAlign w:val="center"/>
                </w:tcPr>
                <w:p w14:paraId="3A7EE4C9">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color w:val="000000"/>
                      <w:sz w:val="21"/>
                      <w:szCs w:val="21"/>
                      <w:lang w:val="en-US" w:eastAsia="zh-CN"/>
                    </w:rPr>
                    <w:t>A02430800火箭及发射、维护设施</w:t>
                  </w:r>
                </w:p>
              </w:tc>
            </w:tr>
            <w:tr w14:paraId="737E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97" w:type="dxa"/>
                  <w:noWrap w:val="0"/>
                  <w:vAlign w:val="center"/>
                </w:tcPr>
                <w:p w14:paraId="43BB63C8">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组织形式</w:t>
                  </w:r>
                </w:p>
              </w:tc>
              <w:tc>
                <w:tcPr>
                  <w:tcW w:w="6422" w:type="dxa"/>
                  <w:noWrap w:val="0"/>
                  <w:vAlign w:val="center"/>
                </w:tcPr>
                <w:p w14:paraId="119B28A3">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自行采购</w:t>
                  </w:r>
                </w:p>
              </w:tc>
            </w:tr>
            <w:tr w14:paraId="1FCE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97" w:type="dxa"/>
                  <w:noWrap w:val="0"/>
                  <w:vAlign w:val="center"/>
                </w:tcPr>
                <w:p w14:paraId="0A747ADD">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预算金额</w:t>
                  </w:r>
                </w:p>
              </w:tc>
              <w:tc>
                <w:tcPr>
                  <w:tcW w:w="6422" w:type="dxa"/>
                  <w:noWrap w:val="0"/>
                  <w:vAlign w:val="center"/>
                </w:tcPr>
                <w:p w14:paraId="711F8817">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240,000.00元</w:t>
                  </w:r>
                </w:p>
              </w:tc>
            </w:tr>
            <w:tr w14:paraId="0CEB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14:paraId="54D499EE">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采购方式</w:t>
                  </w:r>
                </w:p>
              </w:tc>
              <w:tc>
                <w:tcPr>
                  <w:tcW w:w="6422" w:type="dxa"/>
                  <w:noWrap w:val="0"/>
                  <w:vAlign w:val="center"/>
                </w:tcPr>
                <w:p w14:paraId="7B61C974">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电子询价</w:t>
                  </w:r>
                </w:p>
              </w:tc>
            </w:tr>
            <w:tr w14:paraId="6EBA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14:paraId="6C567F04">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评审方法</w:t>
                  </w:r>
                </w:p>
              </w:tc>
              <w:tc>
                <w:tcPr>
                  <w:tcW w:w="6422" w:type="dxa"/>
                  <w:noWrap w:val="0"/>
                  <w:vAlign w:val="center"/>
                </w:tcPr>
                <w:p w14:paraId="5D6052BB">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最低评标价法</w:t>
                  </w:r>
                </w:p>
              </w:tc>
            </w:tr>
            <w:tr w14:paraId="3D51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14:paraId="4D406FD1">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采购人</w:t>
                  </w:r>
                </w:p>
              </w:tc>
              <w:tc>
                <w:tcPr>
                  <w:tcW w:w="6422" w:type="dxa"/>
                  <w:noWrap w:val="0"/>
                  <w:vAlign w:val="center"/>
                </w:tcPr>
                <w:p w14:paraId="6C80A26F">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广东省始兴县气象局</w:t>
                  </w:r>
                </w:p>
              </w:tc>
            </w:tr>
            <w:tr w14:paraId="433F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097" w:type="dxa"/>
                  <w:noWrap w:val="0"/>
                  <w:vAlign w:val="center"/>
                </w:tcPr>
                <w:p w14:paraId="6BD1BE72">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采购代理机构</w:t>
                  </w:r>
                </w:p>
              </w:tc>
              <w:tc>
                <w:tcPr>
                  <w:tcW w:w="6422" w:type="dxa"/>
                  <w:noWrap w:val="0"/>
                  <w:vAlign w:val="center"/>
                </w:tcPr>
                <w:p w14:paraId="3D5700CB">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韶关众信项目管理有限公司</w:t>
                  </w:r>
                </w:p>
              </w:tc>
            </w:tr>
          </w:tbl>
          <w:p w14:paraId="357BC8CD">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二、采购需求一览表</w:t>
            </w:r>
          </w:p>
          <w:tbl>
            <w:tblPr>
              <w:tblStyle w:val="4"/>
              <w:tblW w:w="4997" w:type="pct"/>
              <w:jc w:val="center"/>
              <w:tblLayout w:type="fixed"/>
              <w:tblCellMar>
                <w:top w:w="0" w:type="dxa"/>
                <w:left w:w="0" w:type="dxa"/>
                <w:bottom w:w="0" w:type="dxa"/>
                <w:right w:w="0" w:type="dxa"/>
              </w:tblCellMar>
            </w:tblPr>
            <w:tblGrid>
              <w:gridCol w:w="543"/>
              <w:gridCol w:w="2804"/>
              <w:gridCol w:w="724"/>
              <w:gridCol w:w="1497"/>
              <w:gridCol w:w="1658"/>
              <w:gridCol w:w="1755"/>
            </w:tblGrid>
            <w:tr w14:paraId="5AEB0A6F">
              <w:tblPrEx>
                <w:tblCellMar>
                  <w:top w:w="0" w:type="dxa"/>
                  <w:left w:w="0" w:type="dxa"/>
                  <w:bottom w:w="0" w:type="dxa"/>
                  <w:right w:w="0" w:type="dxa"/>
                </w:tblCellMar>
              </w:tblPrEx>
              <w:trPr>
                <w:trHeight w:val="596" w:hRule="atLeast"/>
                <w:jc w:val="center"/>
              </w:trPr>
              <w:tc>
                <w:tcPr>
                  <w:tcW w:w="30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99D80D9">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5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3894359">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采购内容</w:t>
                  </w:r>
                </w:p>
              </w:tc>
              <w:tc>
                <w:tcPr>
                  <w:tcW w:w="4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A5674FF">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7F1DA52">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主要技术规格、参数及要求</w:t>
                  </w:r>
                </w:p>
              </w:tc>
              <w:tc>
                <w:tcPr>
                  <w:tcW w:w="92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48FA201">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合同履约期限</w:t>
                  </w:r>
                </w:p>
              </w:tc>
              <w:tc>
                <w:tcPr>
                  <w:tcW w:w="97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14E78B7">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预算金额（元）</w:t>
                  </w:r>
                </w:p>
              </w:tc>
            </w:tr>
            <w:tr w14:paraId="34B2B17D">
              <w:tblPrEx>
                <w:tblCellMar>
                  <w:top w:w="0" w:type="dxa"/>
                  <w:left w:w="0" w:type="dxa"/>
                  <w:bottom w:w="0" w:type="dxa"/>
                  <w:right w:w="0" w:type="dxa"/>
                </w:tblCellMar>
              </w:tblPrEx>
              <w:trPr>
                <w:trHeight w:val="486" w:hRule="atLeast"/>
                <w:jc w:val="center"/>
              </w:trPr>
              <w:tc>
                <w:tcPr>
                  <w:tcW w:w="30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045AB4A">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5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BFDA34C">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火箭通用发射架</w:t>
                  </w:r>
                </w:p>
              </w:tc>
              <w:tc>
                <w:tcPr>
                  <w:tcW w:w="4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DDE8CFA">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restart"/>
                  <w:tcBorders>
                    <w:top w:val="single" w:color="000000" w:sz="4" w:space="0"/>
                    <w:left w:val="single" w:color="000000" w:sz="4" w:space="0"/>
                    <w:right w:val="single" w:color="000000" w:sz="4" w:space="0"/>
                  </w:tcBorders>
                  <w:shd w:val="clear" w:color="auto" w:fill="FFFFFF"/>
                  <w:noWrap w:val="0"/>
                  <w:tcMar>
                    <w:top w:w="15" w:type="dxa"/>
                    <w:left w:w="15" w:type="dxa"/>
                    <w:right w:w="15" w:type="dxa"/>
                  </w:tcMar>
                  <w:vAlign w:val="center"/>
                </w:tcPr>
                <w:p w14:paraId="0E27B049">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详见“采购项目技术要求”内容</w:t>
                  </w:r>
                </w:p>
              </w:tc>
              <w:tc>
                <w:tcPr>
                  <w:tcW w:w="922" w:type="pct"/>
                  <w:vMerge w:val="restart"/>
                  <w:tcBorders>
                    <w:top w:val="single" w:color="000000" w:sz="4" w:space="0"/>
                    <w:left w:val="single" w:color="000000" w:sz="4" w:space="0"/>
                    <w:right w:val="single" w:color="000000" w:sz="4" w:space="0"/>
                  </w:tcBorders>
                  <w:shd w:val="clear" w:color="auto" w:fill="FFFFFF"/>
                  <w:noWrap w:val="0"/>
                  <w:tcMar>
                    <w:top w:w="15" w:type="dxa"/>
                    <w:left w:w="15" w:type="dxa"/>
                    <w:right w:w="15" w:type="dxa"/>
                  </w:tcMar>
                  <w:vAlign w:val="center"/>
                </w:tcPr>
                <w:p w14:paraId="1C3E45B7">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合同签订之日起一年内</w:t>
                  </w:r>
                </w:p>
              </w:tc>
              <w:tc>
                <w:tcPr>
                  <w:tcW w:w="976" w:type="pct"/>
                  <w:vMerge w:val="restart"/>
                  <w:tcBorders>
                    <w:top w:val="single" w:color="000000" w:sz="4" w:space="0"/>
                    <w:left w:val="single" w:color="000000" w:sz="4" w:space="0"/>
                    <w:right w:val="single" w:color="000000" w:sz="4" w:space="0"/>
                  </w:tcBorders>
                  <w:shd w:val="clear" w:color="auto" w:fill="FFFFFF"/>
                  <w:noWrap w:val="0"/>
                  <w:tcMar>
                    <w:top w:w="15" w:type="dxa"/>
                    <w:left w:w="15" w:type="dxa"/>
                    <w:right w:w="15" w:type="dxa"/>
                  </w:tcMar>
                  <w:vAlign w:val="center"/>
                </w:tcPr>
                <w:p w14:paraId="6B41B4F1">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240,000.00</w:t>
                  </w:r>
                </w:p>
              </w:tc>
            </w:tr>
            <w:tr w14:paraId="55668E5A">
              <w:tblPrEx>
                <w:tblCellMar>
                  <w:top w:w="0" w:type="dxa"/>
                  <w:left w:w="0" w:type="dxa"/>
                  <w:bottom w:w="0" w:type="dxa"/>
                  <w:right w:w="0" w:type="dxa"/>
                </w:tblCellMar>
              </w:tblPrEx>
              <w:trPr>
                <w:trHeight w:val="561" w:hRule="atLeast"/>
                <w:jc w:val="center"/>
              </w:trPr>
              <w:tc>
                <w:tcPr>
                  <w:tcW w:w="30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726ECD6">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5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8AA3B5F">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火箭作业安全监控终端</w:t>
                  </w:r>
                </w:p>
              </w:tc>
              <w:tc>
                <w:tcPr>
                  <w:tcW w:w="4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0E25DC9">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continue"/>
                  <w:tcBorders>
                    <w:left w:val="single" w:color="000000" w:sz="4" w:space="0"/>
                    <w:right w:val="single" w:color="000000" w:sz="4" w:space="0"/>
                  </w:tcBorders>
                  <w:shd w:val="clear" w:color="auto" w:fill="FFFFFF"/>
                  <w:noWrap w:val="0"/>
                  <w:tcMar>
                    <w:top w:w="15" w:type="dxa"/>
                    <w:left w:w="15" w:type="dxa"/>
                    <w:right w:w="15" w:type="dxa"/>
                  </w:tcMar>
                  <w:vAlign w:val="center"/>
                </w:tcPr>
                <w:p w14:paraId="08A33C40">
                  <w:pPr>
                    <w:jc w:val="center"/>
                    <w:rPr>
                      <w:rFonts w:hint="eastAsia" w:ascii="宋体" w:hAnsi="宋体" w:eastAsia="宋体" w:cs="宋体"/>
                      <w:sz w:val="21"/>
                      <w:szCs w:val="21"/>
                      <w:lang w:val="en-US" w:eastAsia="zh-CN"/>
                    </w:rPr>
                  </w:pPr>
                </w:p>
              </w:tc>
              <w:tc>
                <w:tcPr>
                  <w:tcW w:w="922" w:type="pct"/>
                  <w:vMerge w:val="continue"/>
                  <w:tcBorders>
                    <w:left w:val="single" w:color="000000" w:sz="4" w:space="0"/>
                    <w:right w:val="single" w:color="000000" w:sz="4" w:space="0"/>
                  </w:tcBorders>
                  <w:shd w:val="clear" w:color="auto" w:fill="FFFFFF"/>
                  <w:noWrap w:val="0"/>
                  <w:tcMar>
                    <w:top w:w="15" w:type="dxa"/>
                    <w:left w:w="15" w:type="dxa"/>
                    <w:right w:w="15" w:type="dxa"/>
                  </w:tcMar>
                  <w:vAlign w:val="center"/>
                </w:tcPr>
                <w:p w14:paraId="350F54ED">
                  <w:pPr>
                    <w:jc w:val="center"/>
                    <w:rPr>
                      <w:rFonts w:hint="eastAsia" w:ascii="宋体" w:hAnsi="宋体" w:eastAsia="宋体" w:cs="宋体"/>
                      <w:sz w:val="21"/>
                      <w:szCs w:val="21"/>
                      <w:lang w:val="en-US" w:eastAsia="zh-CN"/>
                    </w:rPr>
                  </w:pPr>
                </w:p>
              </w:tc>
              <w:tc>
                <w:tcPr>
                  <w:tcW w:w="976" w:type="pct"/>
                  <w:vMerge w:val="continue"/>
                  <w:tcBorders>
                    <w:left w:val="single" w:color="000000" w:sz="4" w:space="0"/>
                    <w:right w:val="single" w:color="000000" w:sz="4" w:space="0"/>
                  </w:tcBorders>
                  <w:shd w:val="clear" w:color="auto" w:fill="FFFFFF"/>
                  <w:noWrap w:val="0"/>
                  <w:tcMar>
                    <w:top w:w="15" w:type="dxa"/>
                    <w:left w:w="15" w:type="dxa"/>
                    <w:right w:w="15" w:type="dxa"/>
                  </w:tcMar>
                  <w:vAlign w:val="center"/>
                </w:tcPr>
                <w:p w14:paraId="14986D0F">
                  <w:pPr>
                    <w:jc w:val="center"/>
                    <w:rPr>
                      <w:rFonts w:hint="eastAsia" w:ascii="宋体" w:hAnsi="宋体" w:eastAsia="宋体" w:cs="宋体"/>
                      <w:sz w:val="21"/>
                      <w:szCs w:val="21"/>
                      <w:lang w:val="en-US" w:eastAsia="zh-CN"/>
                    </w:rPr>
                  </w:pPr>
                </w:p>
              </w:tc>
            </w:tr>
            <w:tr w14:paraId="68965508">
              <w:tblPrEx>
                <w:tblCellMar>
                  <w:top w:w="0" w:type="dxa"/>
                  <w:left w:w="0" w:type="dxa"/>
                  <w:bottom w:w="0" w:type="dxa"/>
                  <w:right w:w="0" w:type="dxa"/>
                </w:tblCellMar>
              </w:tblPrEx>
              <w:trPr>
                <w:trHeight w:val="876" w:hRule="atLeast"/>
                <w:jc w:val="center"/>
              </w:trPr>
              <w:tc>
                <w:tcPr>
                  <w:tcW w:w="30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C1C572D">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5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6B719F5">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基于三码绑定的人工影响天气火箭发射安全锁控系统</w:t>
                  </w:r>
                </w:p>
              </w:tc>
              <w:tc>
                <w:tcPr>
                  <w:tcW w:w="4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53AF6CD">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continue"/>
                  <w:tcBorders>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A7DDDD8">
                  <w:pPr>
                    <w:jc w:val="center"/>
                    <w:rPr>
                      <w:rFonts w:hint="eastAsia" w:ascii="宋体" w:hAnsi="宋体" w:eastAsia="宋体" w:cs="宋体"/>
                      <w:sz w:val="21"/>
                      <w:szCs w:val="21"/>
                      <w:lang w:val="en-US" w:eastAsia="zh-CN"/>
                    </w:rPr>
                  </w:pPr>
                </w:p>
              </w:tc>
              <w:tc>
                <w:tcPr>
                  <w:tcW w:w="922" w:type="pct"/>
                  <w:vMerge w:val="continue"/>
                  <w:tcBorders>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26C980F">
                  <w:pPr>
                    <w:jc w:val="center"/>
                    <w:rPr>
                      <w:rFonts w:hint="eastAsia" w:ascii="宋体" w:hAnsi="宋体" w:eastAsia="宋体" w:cs="宋体"/>
                      <w:sz w:val="21"/>
                      <w:szCs w:val="21"/>
                      <w:lang w:val="en-US" w:eastAsia="zh-CN"/>
                    </w:rPr>
                  </w:pPr>
                </w:p>
              </w:tc>
              <w:tc>
                <w:tcPr>
                  <w:tcW w:w="976" w:type="pct"/>
                  <w:vMerge w:val="continue"/>
                  <w:tcBorders>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84D633C">
                  <w:pPr>
                    <w:jc w:val="center"/>
                    <w:rPr>
                      <w:rFonts w:hint="eastAsia" w:ascii="宋体" w:hAnsi="宋体" w:eastAsia="宋体" w:cs="宋体"/>
                      <w:sz w:val="21"/>
                      <w:szCs w:val="21"/>
                      <w:lang w:val="en-US" w:eastAsia="zh-CN"/>
                    </w:rPr>
                  </w:pPr>
                </w:p>
              </w:tc>
            </w:tr>
          </w:tbl>
          <w:p w14:paraId="78AA8041">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三、采购项目技术要求</w:t>
            </w:r>
          </w:p>
          <w:p w14:paraId="09BD4DD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火箭通用发射架</w:t>
            </w:r>
          </w:p>
          <w:p w14:paraId="5D9416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满足箭架分离，自动化、信息化功能，设备数据实时对接火箭作业安全终端。</w:t>
            </w:r>
          </w:p>
          <w:p w14:paraId="425FC7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1.安全点火发射：在允许的情况下对火箭进行安全点火发射，在其他情况下限制点火；</w:t>
            </w:r>
          </w:p>
          <w:p w14:paraId="3CA0FD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2.无线遥控指挥：发射控制终端发出指令，发射架上的无线接收模块接收指令，并控制发射架完成相应的动作；</w:t>
            </w:r>
          </w:p>
          <w:p w14:paraId="779BC7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3.姿态测量反馈：实时测量发射架定向器的俯仰角和方位角，并能在发射控制器上实时显示；</w:t>
            </w:r>
          </w:p>
          <w:p w14:paraId="038B6D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4.应急操控：无线遥控系统故障时，发射控制终端通过连接电缆的方式对发射架上火箭进行电阻检测和发射；</w:t>
            </w:r>
          </w:p>
          <w:p w14:paraId="65A78F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5.数据存储导出：每发射一枚火箭，能够自动生成一条信息，自动存储在安全锁定器中，并具有数据导出功能；</w:t>
            </w:r>
          </w:p>
          <w:p w14:paraId="6904D4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6.自动复位：作业完毕后，发射架可自动回到零位（运输位）；</w:t>
            </w:r>
          </w:p>
          <w:p w14:paraId="04D838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7.姿态调整和锁紧：正常情况下，根据接收指令，自动实现发射姿态并电动锁定俯仰角和方位角；出现故障时，可手动操作发射架进行姿态调整并手动锁定俯仰角和方位角；</w:t>
            </w:r>
          </w:p>
          <w:p w14:paraId="17FC29E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8.具有发射安全保护功能；</w:t>
            </w:r>
          </w:p>
          <w:p w14:paraId="7DD9D8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9.具有安全射界识别功能。</w:t>
            </w:r>
          </w:p>
          <w:p w14:paraId="7937296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（二）火箭作业安全监控终端</w:t>
            </w:r>
          </w:p>
          <w:p w14:paraId="0AB4DCF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具备作业指令接收、安全射界验证、三码合一、作业状态判断和作业状态上报功能，须与“天工”平台对接。</w:t>
            </w:r>
          </w:p>
          <w:p w14:paraId="7C4EABA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（三）基于三码绑定的人工影响天气火箭发射安全锁控系统</w:t>
            </w:r>
          </w:p>
          <w:p w14:paraId="3DF9A6D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1.输入电压范围：±100V；</w:t>
            </w:r>
          </w:p>
          <w:p w14:paraId="0B0DFB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2.额定电压：（16±5%）V；</w:t>
            </w:r>
          </w:p>
          <w:p w14:paraId="00EEF85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3.最大解锁保持时间：300秒（总线断电）；</w:t>
            </w:r>
          </w:p>
          <w:p w14:paraId="030CD9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4.插入阻抗：小于0.5欧姆；</w:t>
            </w:r>
          </w:p>
          <w:p w14:paraId="3FE084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5.灌入电流：&lt;5mA（灌入电压&lt;80时）；</w:t>
            </w:r>
          </w:p>
          <w:p w14:paraId="37ED8B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6.解锁保持时间设定范围：1~300秒；</w:t>
            </w:r>
          </w:p>
          <w:p w14:paraId="0533DC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7.通信模式：MBUS（双向无极性）；</w:t>
            </w:r>
          </w:p>
          <w:p w14:paraId="3889FE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8.通信速率：1024bps；</w:t>
            </w:r>
          </w:p>
          <w:p w14:paraId="2D87F0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highlight w:val="none"/>
                <w:lang w:val="en-US" w:eastAsia="zh-CN"/>
              </w:rPr>
              <w:t>9.校验和算法：CRC8。</w:t>
            </w:r>
          </w:p>
          <w:p w14:paraId="2B4F4966">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四、商务要求</w:t>
            </w:r>
          </w:p>
          <w:p w14:paraId="1F0F2EC0">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（一）合同履约期限</w:t>
            </w:r>
          </w:p>
          <w:p w14:paraId="65593B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合同签订之日起一年内。</w:t>
            </w:r>
          </w:p>
          <w:p w14:paraId="2A6CF19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（二）服务地点</w:t>
            </w:r>
          </w:p>
          <w:p w14:paraId="7876CC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采购人指定地点。</w:t>
            </w:r>
          </w:p>
          <w:p w14:paraId="6F57B3A5">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（三）维护服务要求</w:t>
            </w:r>
          </w:p>
          <w:p w14:paraId="331E52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outlineLvl w:val="9"/>
              <w:rPr>
                <w:rFonts w:hint="default"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1.质量保证与售后服务：提供完善的售后服务方案，质保期自最终验收合格之日起不少于8年。质保期内，应提供备品备件先行更换。</w:t>
            </w:r>
          </w:p>
          <w:p w14:paraId="2963F25B">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（四）报价要求</w:t>
            </w:r>
          </w:p>
          <w:p w14:paraId="07A7D0AF">
            <w:pPr>
              <w:pStyle w:val="6"/>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1.报价超出预算金额的列为无效报价。</w:t>
            </w:r>
          </w:p>
          <w:p w14:paraId="62C6A2B2">
            <w:pPr>
              <w:pStyle w:val="6"/>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2.供应商必须对本项目的全部内容进行响应报价，如有缺漏，将导致响应无效。</w:t>
            </w:r>
          </w:p>
          <w:p w14:paraId="681FC3B0">
            <w:pPr>
              <w:pStyle w:val="6"/>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3.供应商的报价为一次性报价，即在本项目合同履约期限内价格固定不变；报价应为人民币含税全包价。</w:t>
            </w:r>
          </w:p>
          <w:p w14:paraId="240422C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（五）验收要求</w:t>
            </w:r>
          </w:p>
          <w:p w14:paraId="31503055">
            <w:pPr>
              <w:pStyle w:val="6"/>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在交接时当场进行验收。</w:t>
            </w:r>
          </w:p>
          <w:p w14:paraId="1990FF83">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（六）付款方式</w:t>
            </w:r>
          </w:p>
          <w:p w14:paraId="759EB8D3">
            <w:pPr>
              <w:pStyle w:val="6"/>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.项目最终验收合格后10个工作日内，采购人向成交供应商支付合同含税总价的100%（以合同签订情况为准）。</w:t>
            </w:r>
          </w:p>
          <w:p w14:paraId="750996F6">
            <w:pPr>
              <w:pStyle w:val="6"/>
              <w:keepNext w:val="0"/>
              <w:keepLines w:val="0"/>
              <w:pageBreakBefore w:val="0"/>
              <w:kinsoku/>
              <w:wordWrap/>
              <w:overflowPunct/>
              <w:topLinePunct w:val="0"/>
              <w:autoSpaceDE/>
              <w:autoSpaceDN/>
              <w:bidi w:val="0"/>
              <w:adjustRightInd/>
              <w:snapToGrid/>
              <w:spacing w:line="360" w:lineRule="auto"/>
              <w:ind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成交供应商应充分理解采购人支付申请时间，不得因此延迟交付成果和向采购人索赔任何额外费用，不因此追究采购人责任。</w:t>
            </w:r>
          </w:p>
          <w:p w14:paraId="27A9EEF6">
            <w:pPr>
              <w:pStyle w:val="6"/>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2.付款方式：采用银行转账形式。</w:t>
            </w:r>
          </w:p>
          <w:p w14:paraId="0A43B6DA">
            <w:pPr>
              <w:pStyle w:val="6"/>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color w:val="auto"/>
                <w:sz w:val="21"/>
                <w:szCs w:val="21"/>
                <w:highlight w:val="none"/>
                <w:lang w:val="en-US" w:eastAsia="zh-CN"/>
              </w:rPr>
              <w:t>3.每笔款项支付时，成交供应商同时向采购人提供相应金额的正式发票。</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2" w:hRule="atLeast"/>
        </w:trPr>
        <w:tc>
          <w:tcPr>
            <w:tcW w:w="1318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报价合计(元）</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p>
        </w:tc>
      </w:tr>
    </w:tbl>
    <w:p w14:paraId="7696A3CB"/>
    <w:p w14:paraId="7D8709F0">
      <w:pPr>
        <w:pStyle w:val="6"/>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1E556C71">
      <w:pPr>
        <w:pStyle w:val="6"/>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r>
        <w:rPr>
          <w:rFonts w:hint="eastAsia" w:ascii="宋体" w:hAnsi="宋体" w:cs="宋体"/>
          <w:i w:val="0"/>
          <w:iCs w:val="0"/>
          <w:color w:val="000000"/>
          <w:kern w:val="0"/>
          <w:sz w:val="21"/>
          <w:szCs w:val="21"/>
          <w:u w:val="none"/>
          <w:lang w:val="en-US" w:eastAsia="zh-CN" w:bidi="ar"/>
        </w:rPr>
        <w:t xml:space="preserve"> 2026 年 06 月 02</w:t>
      </w:r>
      <w:bookmarkStart w:id="0" w:name="_GoBack"/>
      <w:bookmarkEnd w:id="0"/>
      <w:r>
        <w:rPr>
          <w:rFonts w:hint="eastAsia" w:ascii="宋体" w:hAnsi="宋体" w:cs="宋体"/>
          <w:i w:val="0"/>
          <w:iCs w:val="0"/>
          <w:color w:val="000000"/>
          <w:kern w:val="0"/>
          <w:sz w:val="21"/>
          <w:szCs w:val="21"/>
          <w:u w:val="none"/>
          <w:lang w:val="en-US" w:eastAsia="zh-CN" w:bidi="ar"/>
        </w:rPr>
        <w:t xml:space="preserve"> 日</w:t>
      </w:r>
    </w:p>
    <w:sectPr>
      <w:footerReference r:id="rId3" w:type="default"/>
      <w:pgSz w:w="16838" w:h="11906" w:orient="landscape"/>
      <w:pgMar w:top="1191" w:right="1191" w:bottom="85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DA5C6C"/>
    <w:rsid w:val="08251EAA"/>
    <w:rsid w:val="0D373C46"/>
    <w:rsid w:val="123D323F"/>
    <w:rsid w:val="22035426"/>
    <w:rsid w:val="24F032B6"/>
    <w:rsid w:val="25A03144"/>
    <w:rsid w:val="308B46F0"/>
    <w:rsid w:val="3F4D3E68"/>
    <w:rsid w:val="4D2E66D8"/>
    <w:rsid w:val="4E9F2422"/>
    <w:rsid w:val="587F3F33"/>
    <w:rsid w:val="6884728A"/>
    <w:rsid w:val="6CE16E6B"/>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正"/>
    <w:basedOn w:val="7"/>
    <w:qFormat/>
    <w:uiPriority w:val="0"/>
    <w:pPr>
      <w:spacing w:line="560" w:lineRule="exact"/>
      <w:ind w:firstLine="561"/>
    </w:pPr>
    <w:rPr>
      <w:rFonts w:ascii="Calibri" w:hAnsi="Calibri"/>
      <w:sz w:val="28"/>
      <w:szCs w:val="24"/>
    </w:rPr>
  </w:style>
  <w:style w:type="paragraph" w:customStyle="1" w:styleId="7">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8">
    <w:name w:val="UserStyle_43"/>
    <w:basedOn w:val="9"/>
    <w:qFormat/>
    <w:uiPriority w:val="0"/>
    <w:rPr>
      <w:rFonts w:ascii="宋体" w:hAnsi="Courier New"/>
      <w:szCs w:val="21"/>
    </w:rPr>
  </w:style>
  <w:style w:type="paragraph" w:customStyle="1" w:styleId="9">
    <w:name w:val="UserStyle_30"/>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0">
    <w:name w:val="UserStyle_20"/>
    <w:basedOn w:val="11"/>
    <w:qFormat/>
    <w:uiPriority w:val="0"/>
    <w:pPr>
      <w:spacing w:line="560" w:lineRule="exact"/>
      <w:ind w:firstLine="561"/>
    </w:pPr>
    <w:rPr>
      <w:rFonts w:eastAsia="仿宋_GB2312"/>
      <w:sz w:val="28"/>
    </w:rPr>
  </w:style>
  <w:style w:type="paragraph" w:customStyle="1" w:styleId="11">
    <w:name w:val="UserStyle_24"/>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style>
  <w:style w:type="paragraph" w:customStyle="1" w:styleId="13">
    <w:name w:val="179"/>
    <w:basedOn w:val="9"/>
    <w:qFormat/>
    <w:uiPriority w:val="0"/>
    <w:pPr>
      <w:ind w:firstLine="420" w:firstLineChars="200"/>
    </w:pPr>
    <w:rPr>
      <w:rFonts w:ascii="Calibri" w:hAnsi="Calibri"/>
      <w:szCs w:val="22"/>
    </w:rPr>
  </w:style>
  <w:style w:type="paragraph" w:customStyle="1" w:styleId="14">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1423</Words>
  <Characters>1555</Characters>
  <Lines>0</Lines>
  <Paragraphs>0</Paragraphs>
  <TotalTime>2</TotalTime>
  <ScaleCrop>false</ScaleCrop>
  <LinksUpToDate>false</LinksUpToDate>
  <CharactersWithSpaces>1617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2026-05-27T03:25:40Z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BCCA7EA7B0534042A7A401879EC817F2_12</vt:lpwstr>
  </property>
  <property fmtid="{D5CDD505-2E9C-101B-9397-08002B2CF9AE}" pid="4" name="KSOTemplateDocerSaveRecord">
    <vt:lpwstr>eyJoZGlkIjoiODMwNzAyZGZiNDI2NDk5ODY1YmMzMTY3MjUxYjI4MDAiLCJ1c2VySWQiOiI2NTU3NzExNTAifQ==</vt:lpwstr>
  </property>
</Properties>
</file>