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44"/>
          <w:szCs w:val="44"/>
        </w:rPr>
      </w:pPr>
      <w:r>
        <w:rPr>
          <w:rFonts w:hint="eastAsia" w:ascii="宋体" w:hAnsi="宋体" w:eastAsia="宋体" w:cs="宋体"/>
          <w:b/>
          <w:bCs/>
          <w:sz w:val="44"/>
          <w:szCs w:val="44"/>
        </w:rPr>
        <w:t>报价一览表</w:t>
      </w:r>
    </w:p>
    <w:p>
      <w:pPr>
        <w:rPr>
          <w:rFonts w:hint="eastAsia" w:ascii="宋体" w:hAnsi="宋体" w:eastAsia="宋体" w:cs="宋体"/>
          <w:b/>
          <w:bCs/>
        </w:rPr>
      </w:pPr>
    </w:p>
    <w:p>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项目名称：新丰县城市综合服务中心物料粉碎车采购项目</w:t>
      </w:r>
    </w:p>
    <w:p>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项目编号：2023-572-SGHZ-DZX</w:t>
      </w:r>
    </w:p>
    <w:tbl>
      <w:tblPr>
        <w:tblStyle w:val="2"/>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27"/>
        <w:gridCol w:w="665"/>
        <w:gridCol w:w="1272"/>
        <w:gridCol w:w="3821"/>
        <w:gridCol w:w="427"/>
        <w:gridCol w:w="436"/>
        <w:gridCol w:w="428"/>
        <w:gridCol w:w="613"/>
        <w:gridCol w:w="4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名称</w:t>
            </w:r>
          </w:p>
        </w:tc>
        <w:tc>
          <w:tcPr>
            <w:tcW w:w="7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报价产品的技术、服务响应情况</w:t>
            </w:r>
            <w:r>
              <w:rPr>
                <w:rFonts w:hint="eastAsia" w:ascii="宋体" w:hAnsi="宋体" w:eastAsia="宋体" w:cs="宋体"/>
                <w:b/>
                <w:bCs/>
                <w:i w:val="0"/>
                <w:iCs w:val="0"/>
                <w:color w:val="000000"/>
                <w:kern w:val="0"/>
                <w:sz w:val="21"/>
                <w:szCs w:val="21"/>
                <w:u w:val="none"/>
                <w:lang w:val="en-US" w:eastAsia="zh-CN" w:bidi="ar"/>
              </w:rPr>
              <w:br w:type="textWrapping"/>
            </w:r>
            <w:r>
              <w:rPr>
                <w:rFonts w:hint="eastAsia" w:ascii="宋体" w:hAnsi="宋体" w:eastAsia="宋体" w:cs="宋体"/>
                <w:b/>
                <w:bCs/>
                <w:i w:val="0"/>
                <w:iCs w:val="0"/>
                <w:color w:val="000000"/>
                <w:kern w:val="0"/>
                <w:sz w:val="21"/>
                <w:szCs w:val="21"/>
                <w:u w:val="none"/>
                <w:lang w:val="en-US" w:eastAsia="zh-CN" w:bidi="ar"/>
              </w:rPr>
              <w:t>（是否响应需求内容）</w:t>
            </w:r>
          </w:p>
        </w:tc>
        <w:tc>
          <w:tcPr>
            <w:tcW w:w="2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技术参数</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数量</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品牌型号</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产地</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报价</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5"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物料粉碎车</w:t>
            </w:r>
          </w:p>
        </w:tc>
        <w:tc>
          <w:tcPr>
            <w:tcW w:w="7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完成</w:t>
            </w:r>
            <w:bookmarkStart w:id="0" w:name="_GoBack"/>
            <w:bookmarkEnd w:id="0"/>
            <w:r>
              <w:rPr>
                <w:rFonts w:hint="eastAsia" w:ascii="宋体" w:hAnsi="宋体" w:eastAsia="宋体" w:cs="宋体"/>
                <w:i w:val="0"/>
                <w:iCs w:val="0"/>
                <w:color w:val="000000"/>
                <w:kern w:val="0"/>
                <w:sz w:val="21"/>
                <w:szCs w:val="21"/>
                <w:u w:val="none"/>
                <w:lang w:val="en-US" w:eastAsia="zh-CN" w:bidi="ar"/>
              </w:rPr>
              <w:t>响应</w:t>
            </w:r>
          </w:p>
        </w:tc>
        <w:tc>
          <w:tcPr>
            <w:tcW w:w="2243"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
              <w:keepNext w:val="0"/>
              <w:keepLines w:val="0"/>
              <w:pageBreakBefore w:val="0"/>
              <w:numPr>
                <w:ilvl w:val="0"/>
                <w:numId w:val="0"/>
              </w:numPr>
              <w:tabs>
                <w:tab w:val="left" w:pos="2127"/>
              </w:tabs>
              <w:kinsoku/>
              <w:wordWrap/>
              <w:overflowPunct/>
              <w:topLinePunct w:val="0"/>
              <w:autoSpaceDE/>
              <w:autoSpaceDN/>
              <w:bidi w:val="0"/>
              <w:adjustRightInd/>
              <w:snapToGrid/>
              <w:spacing w:line="440" w:lineRule="exact"/>
              <w:jc w:val="left"/>
              <w:rPr>
                <w:rFonts w:hint="eastAsia" w:ascii="宋体" w:hAnsi="宋体" w:eastAsia="宋体" w:cs="宋体"/>
                <w:sz w:val="21"/>
                <w:szCs w:val="21"/>
              </w:rPr>
            </w:pPr>
            <w:r>
              <w:rPr>
                <w:rFonts w:hint="eastAsia" w:ascii="宋体" w:hAnsi="宋体" w:eastAsia="宋体" w:cs="宋体"/>
                <w:sz w:val="21"/>
                <w:szCs w:val="21"/>
              </w:rPr>
              <w:t>1.底盘发动机功率(kW)≥90</w:t>
            </w:r>
          </w:p>
          <w:p>
            <w:pPr>
              <w:pStyle w:val="4"/>
              <w:keepNext w:val="0"/>
              <w:keepLines w:val="0"/>
              <w:pageBreakBefore w:val="0"/>
              <w:numPr>
                <w:ilvl w:val="0"/>
                <w:numId w:val="0"/>
              </w:numPr>
              <w:tabs>
                <w:tab w:val="left" w:pos="2127"/>
              </w:tabs>
              <w:kinsoku/>
              <w:wordWrap/>
              <w:overflowPunct/>
              <w:topLinePunct w:val="0"/>
              <w:autoSpaceDE/>
              <w:autoSpaceDN/>
              <w:bidi w:val="0"/>
              <w:adjustRightInd/>
              <w:snapToGrid/>
              <w:spacing w:line="440" w:lineRule="exact"/>
              <w:jc w:val="left"/>
              <w:rPr>
                <w:rFonts w:hint="eastAsia" w:ascii="宋体" w:hAnsi="宋体" w:eastAsia="宋体" w:cs="宋体"/>
                <w:b w:val="0"/>
                <w:bCs w:val="0"/>
                <w:sz w:val="21"/>
                <w:szCs w:val="21"/>
              </w:rPr>
            </w:pPr>
            <w:r>
              <w:rPr>
                <w:rFonts w:hint="eastAsia" w:ascii="宋体" w:hAnsi="宋体" w:eastAsia="宋体" w:cs="宋体"/>
                <w:sz w:val="21"/>
                <w:szCs w:val="21"/>
              </w:rPr>
              <w:t>2.最</w:t>
            </w:r>
            <w:r>
              <w:rPr>
                <w:rFonts w:hint="eastAsia" w:ascii="宋体" w:hAnsi="宋体" w:eastAsia="宋体" w:cs="宋体"/>
                <w:b w:val="0"/>
                <w:bCs w:val="0"/>
                <w:sz w:val="21"/>
                <w:szCs w:val="21"/>
              </w:rPr>
              <w:t>高车速(km/h)≥115</w:t>
            </w:r>
          </w:p>
          <w:p>
            <w:pPr>
              <w:pStyle w:val="4"/>
              <w:keepNext w:val="0"/>
              <w:keepLines w:val="0"/>
              <w:pageBreakBefore w:val="0"/>
              <w:numPr>
                <w:ilvl w:val="0"/>
                <w:numId w:val="0"/>
              </w:numPr>
              <w:tabs>
                <w:tab w:val="left" w:pos="2127"/>
              </w:tabs>
              <w:kinsoku/>
              <w:wordWrap/>
              <w:overflowPunct/>
              <w:topLinePunct w:val="0"/>
              <w:autoSpaceDE/>
              <w:autoSpaceDN/>
              <w:bidi w:val="0"/>
              <w:adjustRightInd/>
              <w:snapToGrid/>
              <w:spacing w:line="440" w:lineRule="exact"/>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3.最大进料直径(mm)≥220</w:t>
            </w:r>
          </w:p>
          <w:p>
            <w:pPr>
              <w:pStyle w:val="4"/>
              <w:keepNext w:val="0"/>
              <w:keepLines w:val="0"/>
              <w:pageBreakBefore w:val="0"/>
              <w:numPr>
                <w:ilvl w:val="0"/>
                <w:numId w:val="0"/>
              </w:numPr>
              <w:tabs>
                <w:tab w:val="left" w:pos="2127"/>
              </w:tabs>
              <w:kinsoku/>
              <w:wordWrap/>
              <w:overflowPunct/>
              <w:topLinePunct w:val="0"/>
              <w:autoSpaceDE/>
              <w:autoSpaceDN/>
              <w:bidi w:val="0"/>
              <w:adjustRightInd/>
              <w:snapToGrid/>
              <w:spacing w:line="440" w:lineRule="exact"/>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4.最大进料速度(m/min)≥30</w:t>
            </w:r>
          </w:p>
          <w:p>
            <w:pPr>
              <w:pStyle w:val="4"/>
              <w:keepNext w:val="0"/>
              <w:keepLines w:val="0"/>
              <w:pageBreakBefore w:val="0"/>
              <w:numPr>
                <w:ilvl w:val="0"/>
                <w:numId w:val="0"/>
              </w:numPr>
              <w:tabs>
                <w:tab w:val="left" w:pos="2127"/>
              </w:tabs>
              <w:kinsoku/>
              <w:wordWrap/>
              <w:overflowPunct/>
              <w:topLinePunct w:val="0"/>
              <w:autoSpaceDE/>
              <w:autoSpaceDN/>
              <w:bidi w:val="0"/>
              <w:adjustRightInd/>
              <w:snapToGrid/>
              <w:spacing w:line="440" w:lineRule="exact"/>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5.最大处理能力(kg/h)≥2000</w:t>
            </w:r>
          </w:p>
          <w:p>
            <w:pPr>
              <w:pStyle w:val="4"/>
              <w:keepNext w:val="0"/>
              <w:keepLines w:val="0"/>
              <w:pageBreakBefore w:val="0"/>
              <w:numPr>
                <w:ilvl w:val="0"/>
                <w:numId w:val="0"/>
              </w:numPr>
              <w:tabs>
                <w:tab w:val="left" w:pos="2127"/>
              </w:tabs>
              <w:kinsoku/>
              <w:wordWrap/>
              <w:overflowPunct/>
              <w:topLinePunct w:val="0"/>
              <w:autoSpaceDE/>
              <w:autoSpaceDN/>
              <w:bidi w:val="0"/>
              <w:adjustRightInd/>
              <w:snapToGrid/>
              <w:spacing w:line="440" w:lineRule="exact"/>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6.垃圾箱容积(m³)≥7</w:t>
            </w:r>
          </w:p>
          <w:p>
            <w:pPr>
              <w:pStyle w:val="4"/>
              <w:keepNext w:val="0"/>
              <w:keepLines w:val="0"/>
              <w:pageBreakBefore w:val="0"/>
              <w:numPr>
                <w:ilvl w:val="0"/>
                <w:numId w:val="0"/>
              </w:numPr>
              <w:tabs>
                <w:tab w:val="left" w:pos="2127"/>
              </w:tabs>
              <w:kinsoku/>
              <w:wordWrap/>
              <w:overflowPunct/>
              <w:topLinePunct w:val="0"/>
              <w:autoSpaceDE/>
              <w:autoSpaceDN/>
              <w:bidi w:val="0"/>
              <w:adjustRightInd/>
              <w:snapToGrid/>
              <w:spacing w:line="440" w:lineRule="exact"/>
              <w:jc w:val="left"/>
              <w:rPr>
                <w:rFonts w:hint="eastAsia" w:ascii="宋体" w:hAnsi="宋体" w:eastAsia="宋体" w:cs="宋体"/>
                <w:sz w:val="21"/>
                <w:szCs w:val="21"/>
              </w:rPr>
            </w:pPr>
            <w:r>
              <w:rPr>
                <w:rFonts w:hint="eastAsia" w:ascii="宋体" w:hAnsi="宋体" w:eastAsia="宋体" w:cs="宋体"/>
                <w:sz w:val="21"/>
                <w:szCs w:val="21"/>
                <w:lang w:val="en-US" w:eastAsia="zh-CN"/>
              </w:rPr>
              <w:t>7</w:t>
            </w:r>
            <w:r>
              <w:rPr>
                <w:rFonts w:hint="eastAsia" w:ascii="宋体" w:hAnsi="宋体" w:eastAsia="宋体" w:cs="宋体"/>
                <w:sz w:val="21"/>
                <w:szCs w:val="21"/>
              </w:rPr>
              <w:t>.粉碎装置举升角度(°)≥60</w:t>
            </w:r>
          </w:p>
          <w:p>
            <w:pPr>
              <w:pStyle w:val="4"/>
              <w:keepNext w:val="0"/>
              <w:keepLines w:val="0"/>
              <w:pageBreakBefore w:val="0"/>
              <w:numPr>
                <w:ilvl w:val="0"/>
                <w:numId w:val="0"/>
              </w:numPr>
              <w:tabs>
                <w:tab w:val="left" w:pos="2127"/>
              </w:tabs>
              <w:kinsoku/>
              <w:wordWrap/>
              <w:overflowPunct/>
              <w:topLinePunct w:val="0"/>
              <w:autoSpaceDE/>
              <w:autoSpaceDN/>
              <w:bidi w:val="0"/>
              <w:adjustRightInd/>
              <w:snapToGrid/>
              <w:spacing w:line="440" w:lineRule="exact"/>
              <w:jc w:val="left"/>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.最小转弯直径(m)≤13</w:t>
            </w:r>
          </w:p>
          <w:p>
            <w:pPr>
              <w:pStyle w:val="4"/>
              <w:keepNext w:val="0"/>
              <w:keepLines w:val="0"/>
              <w:pageBreakBefore w:val="0"/>
              <w:numPr>
                <w:ilvl w:val="0"/>
                <w:numId w:val="0"/>
              </w:numPr>
              <w:tabs>
                <w:tab w:val="left" w:pos="2127"/>
              </w:tabs>
              <w:kinsoku/>
              <w:wordWrap/>
              <w:overflowPunct/>
              <w:topLinePunct w:val="0"/>
              <w:autoSpaceDE/>
              <w:autoSpaceDN/>
              <w:bidi w:val="0"/>
              <w:adjustRightInd/>
              <w:snapToGrid/>
              <w:spacing w:line="440" w:lineRule="exact"/>
              <w:jc w:val="left"/>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车辆需具有树枝树干等园林垃圾粉碎、收集、运输、卸料功能为一体，能满足日常园林垃圾就地及时粉碎减容、收集运输的需求，有效解决大量园林垃圾收运困难的问题，需提供车辆粉碎作业、收集存放、卸料的实物照片证明。</w:t>
            </w:r>
          </w:p>
          <w:p>
            <w:pPr>
              <w:pStyle w:val="4"/>
              <w:keepNext w:val="0"/>
              <w:keepLines w:val="0"/>
              <w:pageBreakBefore w:val="0"/>
              <w:numPr>
                <w:ilvl w:val="0"/>
                <w:numId w:val="0"/>
              </w:numPr>
              <w:tabs>
                <w:tab w:val="left" w:pos="2127"/>
              </w:tabs>
              <w:kinsoku/>
              <w:wordWrap/>
              <w:overflowPunct/>
              <w:topLinePunct w:val="0"/>
              <w:autoSpaceDE/>
              <w:autoSpaceDN/>
              <w:bidi w:val="0"/>
              <w:adjustRightInd/>
              <w:snapToGrid/>
              <w:spacing w:line="440" w:lineRule="exact"/>
              <w:jc w:val="left"/>
              <w:rPr>
                <w:rFonts w:hint="eastAsia" w:ascii="宋体" w:hAnsi="宋体" w:eastAsia="宋体" w:cs="宋体"/>
                <w:sz w:val="21"/>
                <w:szCs w:val="21"/>
              </w:rPr>
            </w:pPr>
            <w:r>
              <w:rPr>
                <w:rFonts w:hint="eastAsia" w:ascii="宋体" w:hAnsi="宋体" w:eastAsia="宋体" w:cs="宋体"/>
                <w:sz w:val="21"/>
                <w:szCs w:val="21"/>
                <w:lang w:val="en-US" w:eastAsia="zh-CN"/>
              </w:rPr>
              <w:t>10</w:t>
            </w:r>
            <w:r>
              <w:rPr>
                <w:rFonts w:hint="eastAsia" w:ascii="宋体" w:hAnsi="宋体" w:eastAsia="宋体" w:cs="宋体"/>
                <w:sz w:val="21"/>
                <w:szCs w:val="21"/>
              </w:rPr>
              <w:t>.车辆后部需设有粉碎仓,安装有专用粉碎装置，粉碎仓外观需采用一体化成型设计，配置高档漂亮的玻璃钢罩盖，美观大方，方便操作维护。粉碎装置安装在托架上,四周密封，有效防止粉碎的木屑四处飞溅，保证作业安全性，降低作业噪声。</w:t>
            </w:r>
          </w:p>
          <w:p>
            <w:pPr>
              <w:pStyle w:val="4"/>
              <w:keepNext w:val="0"/>
              <w:keepLines w:val="0"/>
              <w:pageBreakBefore w:val="0"/>
              <w:numPr>
                <w:ilvl w:val="0"/>
                <w:numId w:val="0"/>
              </w:numPr>
              <w:tabs>
                <w:tab w:val="left" w:pos="2127"/>
              </w:tabs>
              <w:kinsoku/>
              <w:wordWrap/>
              <w:overflowPunct/>
              <w:topLinePunct w:val="0"/>
              <w:autoSpaceDE/>
              <w:autoSpaceDN/>
              <w:bidi w:val="0"/>
              <w:adjustRightInd/>
              <w:snapToGrid/>
              <w:spacing w:line="440" w:lineRule="exact"/>
              <w:jc w:val="left"/>
              <w:rPr>
                <w:rFonts w:hint="eastAsia" w:ascii="宋体" w:hAnsi="宋体" w:eastAsia="宋体" w:cs="宋体"/>
                <w:sz w:val="21"/>
                <w:szCs w:val="21"/>
              </w:rPr>
            </w:pPr>
            <w:r>
              <w:rPr>
                <w:rFonts w:hint="eastAsia" w:ascii="宋体" w:hAnsi="宋体" w:eastAsia="宋体" w:cs="宋体"/>
                <w:sz w:val="21"/>
                <w:szCs w:val="21"/>
              </w:rPr>
              <w:t>11.粉碎刀片需采用不低于A8高韧性模具钢，表面硬度高、内部韧性好、刀刃锋利，寿命长久，可实现树枝树干等园林垃圾的高效粉碎和收集。</w:t>
            </w:r>
          </w:p>
          <w:p>
            <w:pPr>
              <w:pStyle w:val="4"/>
              <w:keepNext w:val="0"/>
              <w:keepLines w:val="0"/>
              <w:pageBreakBefore w:val="0"/>
              <w:numPr>
                <w:ilvl w:val="0"/>
                <w:numId w:val="0"/>
              </w:numPr>
              <w:tabs>
                <w:tab w:val="left" w:pos="2127"/>
              </w:tabs>
              <w:kinsoku/>
              <w:wordWrap/>
              <w:overflowPunct/>
              <w:topLinePunct w:val="0"/>
              <w:autoSpaceDE/>
              <w:autoSpaceDN/>
              <w:bidi w:val="0"/>
              <w:adjustRightInd/>
              <w:snapToGrid/>
              <w:spacing w:line="440" w:lineRule="exact"/>
              <w:jc w:val="left"/>
              <w:rPr>
                <w:rFonts w:hint="eastAsia" w:ascii="宋体" w:hAnsi="宋体" w:eastAsia="宋体" w:cs="宋体"/>
                <w:sz w:val="21"/>
                <w:szCs w:val="21"/>
              </w:rPr>
            </w:pPr>
            <w:r>
              <w:rPr>
                <w:rFonts w:hint="eastAsia" w:ascii="宋体" w:hAnsi="宋体" w:eastAsia="宋体" w:cs="宋体"/>
                <w:sz w:val="21"/>
                <w:szCs w:val="21"/>
              </w:rPr>
              <w:t>12.车辆需设置有垃圾箱，用于木屑的收集、存放，降低园林垃圾转运成本。</w:t>
            </w:r>
          </w:p>
          <w:p>
            <w:pPr>
              <w:pStyle w:val="4"/>
              <w:keepNext w:val="0"/>
              <w:keepLines w:val="0"/>
              <w:pageBreakBefore w:val="0"/>
              <w:numPr>
                <w:ilvl w:val="0"/>
                <w:numId w:val="0"/>
              </w:numPr>
              <w:tabs>
                <w:tab w:val="left" w:pos="2127"/>
              </w:tabs>
              <w:kinsoku/>
              <w:wordWrap/>
              <w:overflowPunct/>
              <w:topLinePunct w:val="0"/>
              <w:autoSpaceDE/>
              <w:autoSpaceDN/>
              <w:bidi w:val="0"/>
              <w:adjustRightInd/>
              <w:snapToGrid/>
              <w:spacing w:line="440" w:lineRule="exact"/>
              <w:jc w:val="left"/>
              <w:rPr>
                <w:rFonts w:hint="eastAsia" w:ascii="宋体" w:hAnsi="宋体" w:eastAsia="宋体" w:cs="宋体"/>
                <w:sz w:val="21"/>
                <w:szCs w:val="21"/>
              </w:rPr>
            </w:pPr>
            <w:r>
              <w:rPr>
                <w:rFonts w:hint="eastAsia" w:ascii="宋体" w:hAnsi="宋体" w:eastAsia="宋体" w:cs="宋体"/>
                <w:sz w:val="21"/>
                <w:szCs w:val="21"/>
              </w:rPr>
              <w:t>13.需配有推铲结构，用于粉碎后的园林垃圾卸料作业。卸料时垃圾箱不用举升，大幅提高卸料作业安全性，卸料更干净，卸料速度快。</w:t>
            </w:r>
          </w:p>
          <w:p>
            <w:pPr>
              <w:pStyle w:val="4"/>
              <w:keepNext w:val="0"/>
              <w:keepLines w:val="0"/>
              <w:pageBreakBefore w:val="0"/>
              <w:numPr>
                <w:ilvl w:val="0"/>
                <w:numId w:val="0"/>
              </w:numPr>
              <w:tabs>
                <w:tab w:val="left" w:pos="2127"/>
              </w:tabs>
              <w:kinsoku/>
              <w:wordWrap/>
              <w:overflowPunct/>
              <w:topLinePunct w:val="0"/>
              <w:autoSpaceDE/>
              <w:autoSpaceDN/>
              <w:bidi w:val="0"/>
              <w:adjustRightInd/>
              <w:snapToGrid/>
              <w:spacing w:line="440" w:lineRule="exact"/>
              <w:jc w:val="left"/>
              <w:rPr>
                <w:rFonts w:hint="eastAsia" w:ascii="宋体" w:hAnsi="宋体" w:eastAsia="宋体" w:cs="宋体"/>
                <w:sz w:val="21"/>
                <w:szCs w:val="21"/>
              </w:rPr>
            </w:pPr>
            <w:r>
              <w:rPr>
                <w:rFonts w:hint="eastAsia" w:ascii="宋体" w:hAnsi="宋体" w:eastAsia="宋体" w:cs="宋体"/>
                <w:sz w:val="21"/>
                <w:szCs w:val="21"/>
              </w:rPr>
              <w:t>14.车辆后部进料口右侧需设有控制面板，用于车辆各作业功能操作及作业参数显示。操作设备进行粉碎作业时，可实现粉碎装置一键启动、停止作业功能。</w:t>
            </w:r>
          </w:p>
          <w:p>
            <w:pPr>
              <w:pStyle w:val="4"/>
              <w:keepNext w:val="0"/>
              <w:keepLines w:val="0"/>
              <w:pageBreakBefore w:val="0"/>
              <w:numPr>
                <w:ilvl w:val="0"/>
                <w:numId w:val="0"/>
              </w:numPr>
              <w:tabs>
                <w:tab w:val="left" w:pos="2127"/>
              </w:tabs>
              <w:kinsoku/>
              <w:wordWrap/>
              <w:overflowPunct/>
              <w:topLinePunct w:val="0"/>
              <w:autoSpaceDE/>
              <w:autoSpaceDN/>
              <w:bidi w:val="0"/>
              <w:adjustRightInd/>
              <w:snapToGrid/>
              <w:spacing w:line="440" w:lineRule="exact"/>
              <w:jc w:val="left"/>
              <w:rPr>
                <w:rFonts w:hint="eastAsia" w:ascii="宋体" w:hAnsi="宋体" w:eastAsia="宋体" w:cs="宋体"/>
                <w:sz w:val="21"/>
                <w:szCs w:val="21"/>
              </w:rPr>
            </w:pPr>
            <w:r>
              <w:rPr>
                <w:rFonts w:hint="eastAsia" w:ascii="宋体" w:hAnsi="宋体" w:eastAsia="宋体" w:cs="宋体"/>
                <w:sz w:val="21"/>
                <w:szCs w:val="21"/>
              </w:rPr>
              <w:t>15.为确保作业人员安全，在车辆粉碎装置进料口的左侧及右侧操作面板上需分别设置急停开关,用于紧急情况下停止作业，保障作业人员的人身安全。</w:t>
            </w:r>
          </w:p>
          <w:p>
            <w:pPr>
              <w:pStyle w:val="4"/>
              <w:keepNext w:val="0"/>
              <w:keepLines w:val="0"/>
              <w:pageBreakBefore w:val="0"/>
              <w:numPr>
                <w:ilvl w:val="0"/>
                <w:numId w:val="0"/>
              </w:numPr>
              <w:tabs>
                <w:tab w:val="left" w:pos="2127"/>
              </w:tabs>
              <w:kinsoku/>
              <w:wordWrap/>
              <w:overflowPunct/>
              <w:topLinePunct w:val="0"/>
              <w:autoSpaceDE/>
              <w:autoSpaceDN/>
              <w:bidi w:val="0"/>
              <w:adjustRightInd/>
              <w:snapToGrid/>
              <w:spacing w:line="440" w:lineRule="exact"/>
              <w:jc w:val="left"/>
              <w:rPr>
                <w:rFonts w:hint="eastAsia" w:ascii="宋体" w:hAnsi="宋体" w:eastAsia="宋体" w:cs="宋体"/>
                <w:sz w:val="21"/>
                <w:szCs w:val="21"/>
              </w:rPr>
            </w:pPr>
            <w:r>
              <w:rPr>
                <w:rFonts w:hint="eastAsia" w:ascii="宋体" w:hAnsi="宋体" w:eastAsia="宋体" w:cs="宋体"/>
                <w:sz w:val="21"/>
                <w:szCs w:val="21"/>
              </w:rPr>
              <w:t>16.车辆需设计开发智能人体识别控制系统，当工作人员的手或其他身体部位伸入进料口末端时，进料辊紧急停止进料，以免工作人员卷入粉碎装置，消除造成重大人身伤害事故的安全风险。</w:t>
            </w:r>
          </w:p>
          <w:p>
            <w:pPr>
              <w:pStyle w:val="4"/>
              <w:keepNext w:val="0"/>
              <w:keepLines w:val="0"/>
              <w:pageBreakBefore w:val="0"/>
              <w:numPr>
                <w:ilvl w:val="0"/>
                <w:numId w:val="0"/>
              </w:numPr>
              <w:tabs>
                <w:tab w:val="left" w:pos="2127"/>
              </w:tabs>
              <w:kinsoku/>
              <w:wordWrap/>
              <w:overflowPunct/>
              <w:topLinePunct w:val="0"/>
              <w:autoSpaceDE/>
              <w:autoSpaceDN/>
              <w:bidi w:val="0"/>
              <w:adjustRightInd/>
              <w:snapToGrid/>
              <w:spacing w:line="440" w:lineRule="exact"/>
              <w:jc w:val="left"/>
              <w:rPr>
                <w:rFonts w:hint="eastAsia" w:ascii="宋体" w:hAnsi="宋体" w:eastAsia="宋体" w:cs="宋体"/>
                <w:sz w:val="21"/>
                <w:szCs w:val="21"/>
              </w:rPr>
            </w:pPr>
            <w:r>
              <w:rPr>
                <w:rFonts w:hint="eastAsia" w:ascii="宋体" w:hAnsi="宋体" w:eastAsia="宋体" w:cs="宋体"/>
                <w:sz w:val="21"/>
                <w:szCs w:val="21"/>
              </w:rPr>
              <w:t>17.粉碎仓前端面上需安装传感器传感器，用于检测垃圾箱内部粉碎后的物料储存情况及物料满箱报警及停机控制。</w:t>
            </w:r>
          </w:p>
          <w:p>
            <w:pPr>
              <w:pStyle w:val="4"/>
              <w:keepNext w:val="0"/>
              <w:keepLines w:val="0"/>
              <w:pageBreakBefore w:val="0"/>
              <w:numPr>
                <w:ilvl w:val="0"/>
                <w:numId w:val="0"/>
              </w:numPr>
              <w:tabs>
                <w:tab w:val="left" w:pos="2127"/>
              </w:tabs>
              <w:kinsoku/>
              <w:wordWrap/>
              <w:overflowPunct/>
              <w:topLinePunct w:val="0"/>
              <w:autoSpaceDE/>
              <w:autoSpaceDN/>
              <w:bidi w:val="0"/>
              <w:adjustRightInd/>
              <w:snapToGrid/>
              <w:spacing w:line="440" w:lineRule="exact"/>
              <w:jc w:val="left"/>
              <w:rPr>
                <w:rFonts w:hint="eastAsia" w:ascii="宋体" w:hAnsi="宋体" w:eastAsia="宋体" w:cs="宋体"/>
                <w:sz w:val="21"/>
                <w:szCs w:val="21"/>
              </w:rPr>
            </w:pPr>
            <w:r>
              <w:rPr>
                <w:rFonts w:hint="eastAsia" w:ascii="宋体" w:hAnsi="宋体" w:eastAsia="宋体" w:cs="宋体"/>
                <w:sz w:val="21"/>
                <w:szCs w:val="21"/>
              </w:rPr>
              <w:t>18.车辆需配置压力传感器、转速传感器，实时监控刀辊的工作转速，马达及油缸的工作压力等作业参数，及时调整作业过程中作业控制策略和参数，提高产品的智能化水平。</w:t>
            </w:r>
          </w:p>
          <w:p>
            <w:pPr>
              <w:pStyle w:val="4"/>
              <w:keepNext w:val="0"/>
              <w:keepLines w:val="0"/>
              <w:pageBreakBefore w:val="0"/>
              <w:numPr>
                <w:ilvl w:val="0"/>
                <w:numId w:val="0"/>
              </w:numPr>
              <w:tabs>
                <w:tab w:val="left" w:pos="2127"/>
              </w:tabs>
              <w:kinsoku/>
              <w:wordWrap/>
              <w:overflowPunct/>
              <w:topLinePunct w:val="0"/>
              <w:autoSpaceDE/>
              <w:autoSpaceDN/>
              <w:bidi w:val="0"/>
              <w:adjustRightInd/>
              <w:snapToGrid/>
              <w:spacing w:line="440" w:lineRule="exact"/>
              <w:jc w:val="left"/>
              <w:rPr>
                <w:rFonts w:hint="eastAsia" w:ascii="宋体" w:hAnsi="宋体" w:eastAsia="宋体" w:cs="宋体"/>
                <w:sz w:val="21"/>
                <w:szCs w:val="21"/>
              </w:rPr>
            </w:pPr>
            <w:r>
              <w:rPr>
                <w:rFonts w:hint="eastAsia" w:ascii="宋体" w:hAnsi="宋体" w:eastAsia="宋体" w:cs="宋体"/>
                <w:sz w:val="21"/>
                <w:szCs w:val="21"/>
              </w:rPr>
              <w:t>19.需配备语音报警系统，在车辆驻车作业和行车运输时发出多种语音报警提示信息，如“粉碎装置举升，注意安全”、“粉碎装置下降，注意安全”、“垃圾箱已满，请停止作业”、“推铲推出，请注意安全”、“支腿未收起、请勿移动车辆”等多种语音提示功能。</w:t>
            </w:r>
          </w:p>
          <w:p>
            <w:pPr>
              <w:pStyle w:val="4"/>
              <w:keepNext w:val="0"/>
              <w:keepLines w:val="0"/>
              <w:pageBreakBefore w:val="0"/>
              <w:numPr>
                <w:ilvl w:val="0"/>
                <w:numId w:val="0"/>
              </w:numPr>
              <w:tabs>
                <w:tab w:val="left" w:pos="2127"/>
              </w:tabs>
              <w:kinsoku/>
              <w:wordWrap/>
              <w:overflowPunct/>
              <w:topLinePunct w:val="0"/>
              <w:autoSpaceDE/>
              <w:autoSpaceDN/>
              <w:bidi w:val="0"/>
              <w:adjustRightInd/>
              <w:snapToGrid/>
              <w:spacing w:line="440" w:lineRule="exact"/>
              <w:jc w:val="left"/>
              <w:rPr>
                <w:rFonts w:hint="eastAsia" w:ascii="宋体" w:hAnsi="宋体" w:eastAsia="宋体" w:cs="宋体"/>
                <w:sz w:val="21"/>
                <w:szCs w:val="21"/>
              </w:rPr>
            </w:pPr>
            <w:r>
              <w:rPr>
                <w:rFonts w:hint="eastAsia" w:ascii="宋体" w:hAnsi="宋体" w:eastAsia="宋体" w:cs="宋体"/>
                <w:sz w:val="21"/>
                <w:szCs w:val="21"/>
              </w:rPr>
              <w:t>20.为方便在夜间或亮度不够的环境下作业，监视垃圾箱内部料位情况，垃圾箱内部需配有照明灯，粉碎舱进料口配备工作灯；为便于维护，粉碎仓内部配备工作灯。</w:t>
            </w:r>
          </w:p>
          <w:p>
            <w:pPr>
              <w:pStyle w:val="4"/>
              <w:keepNext w:val="0"/>
              <w:keepLines w:val="0"/>
              <w:pageBreakBefore w:val="0"/>
              <w:numPr>
                <w:ilvl w:val="0"/>
                <w:numId w:val="0"/>
              </w:numPr>
              <w:tabs>
                <w:tab w:val="left" w:pos="2127"/>
              </w:tabs>
              <w:kinsoku/>
              <w:wordWrap/>
              <w:overflowPunct/>
              <w:topLinePunct w:val="0"/>
              <w:autoSpaceDE/>
              <w:autoSpaceDN/>
              <w:bidi w:val="0"/>
              <w:adjustRightInd/>
              <w:snapToGrid/>
              <w:spacing w:line="440" w:lineRule="exact"/>
              <w:jc w:val="left"/>
              <w:rPr>
                <w:rFonts w:hint="eastAsia" w:ascii="宋体" w:hAnsi="宋体" w:eastAsia="宋体" w:cs="宋体"/>
                <w:sz w:val="21"/>
                <w:szCs w:val="21"/>
              </w:rPr>
            </w:pPr>
            <w:r>
              <w:rPr>
                <w:rFonts w:hint="eastAsia" w:ascii="宋体" w:hAnsi="宋体" w:eastAsia="宋体" w:cs="宋体"/>
                <w:sz w:val="21"/>
                <w:szCs w:val="21"/>
              </w:rPr>
              <w:t>21.垃圾箱尾部需设有支腿，保证车辆粉碎作业稳定、安全。</w:t>
            </w:r>
          </w:p>
          <w:p>
            <w:pPr>
              <w:pStyle w:val="4"/>
              <w:keepNext w:val="0"/>
              <w:keepLines w:val="0"/>
              <w:pageBreakBefore w:val="0"/>
              <w:numPr>
                <w:ilvl w:val="0"/>
                <w:numId w:val="0"/>
              </w:numPr>
              <w:tabs>
                <w:tab w:val="left" w:pos="2127"/>
              </w:tabs>
              <w:kinsoku/>
              <w:wordWrap/>
              <w:overflowPunct/>
              <w:topLinePunct w:val="0"/>
              <w:autoSpaceDE/>
              <w:autoSpaceDN/>
              <w:bidi w:val="0"/>
              <w:adjustRightInd/>
              <w:snapToGrid/>
              <w:spacing w:line="440" w:lineRule="exact"/>
              <w:jc w:val="left"/>
              <w:rPr>
                <w:rFonts w:hint="eastAsia" w:ascii="宋体" w:hAnsi="宋体" w:eastAsia="宋体" w:cs="宋体"/>
                <w:sz w:val="21"/>
                <w:szCs w:val="21"/>
              </w:rPr>
            </w:pPr>
            <w:r>
              <w:rPr>
                <w:rFonts w:hint="eastAsia" w:ascii="宋体" w:hAnsi="宋体" w:eastAsia="宋体" w:cs="宋体"/>
                <w:sz w:val="21"/>
                <w:szCs w:val="21"/>
              </w:rPr>
              <w:t>22.车辆的电控系统在粉碎仓举升/下降、支腿放下/收回、推铲推出/收回等工况下需设计各动作协同互联互锁可靠的安全控制程序，确保正常作业或误操作时保障设备及人身安全。</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sz w:val="21"/>
                <w:szCs w:val="21"/>
              </w:rPr>
              <w:t>23.为确保操作人员和设备安全，在垃圾箱和粉碎装置安装托架之间需设有粉碎装置举升安全撑杆。车辆调试、检测及维修等作业时，保障人员与设备安全，需提供实物照片证明。</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1辆</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center"/>
              <w:rPr>
                <w:rFonts w:hint="eastAsia" w:ascii="宋体" w:hAnsi="宋体" w:eastAsia="宋体" w:cs="宋体"/>
                <w:i w:val="0"/>
                <w:iCs w:val="0"/>
                <w:color w:val="000000"/>
                <w:sz w:val="21"/>
                <w:szCs w:val="21"/>
                <w:u w:val="none"/>
              </w:rPr>
            </w:pP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center"/>
              <w:rPr>
                <w:rFonts w:hint="eastAsia" w:ascii="宋体" w:hAnsi="宋体" w:eastAsia="宋体" w:cs="宋体"/>
                <w:i w:val="0"/>
                <w:iCs w:val="0"/>
                <w:color w:val="000000"/>
                <w:sz w:val="21"/>
                <w:szCs w:val="21"/>
                <w:u w:val="none"/>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center"/>
              <w:rPr>
                <w:rFonts w:hint="eastAsia" w:ascii="宋体" w:hAnsi="宋体" w:eastAsia="宋体" w:cs="宋体"/>
                <w:i w:val="0"/>
                <w:iCs w:val="0"/>
                <w:color w:val="000000"/>
                <w:sz w:val="21"/>
                <w:szCs w:val="21"/>
                <w:u w:val="none"/>
              </w:rPr>
            </w:pP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4137"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合计报价</w:t>
            </w:r>
          </w:p>
        </w:tc>
        <w:tc>
          <w:tcPr>
            <w:tcW w:w="250" w:type="pct"/>
            <w:tcBorders>
              <w:top w:val="single" w:color="000000" w:sz="4" w:space="0"/>
              <w:left w:val="nil"/>
              <w:bottom w:val="single" w:color="000000" w:sz="4" w:space="0"/>
              <w:right w:val="single" w:color="000000"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line="440" w:lineRule="exact"/>
              <w:rPr>
                <w:rFonts w:hint="eastAsia" w:ascii="Tahoma" w:hAnsi="Tahoma" w:eastAsia="Tahoma" w:cs="Tahoma"/>
                <w:i w:val="0"/>
                <w:iCs w:val="0"/>
                <w:color w:val="000000"/>
                <w:sz w:val="22"/>
                <w:szCs w:val="22"/>
                <w:u w:val="none"/>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line="440" w:lineRule="exact"/>
              <w:rPr>
                <w:rFonts w:hint="default" w:ascii="Tahoma" w:hAnsi="Tahoma" w:eastAsia="Tahoma" w:cs="Tahoma"/>
                <w:i w:val="0"/>
                <w:iCs w:val="0"/>
                <w:color w:val="000000"/>
                <w:sz w:val="22"/>
                <w:szCs w:val="22"/>
                <w:u w:val="none"/>
              </w:rPr>
            </w:pP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line="440" w:lineRule="exact"/>
              <w:rPr>
                <w:rFonts w:hint="default" w:ascii="Tahoma" w:hAnsi="Tahoma" w:eastAsia="Tahoma" w:cs="Tahoma"/>
                <w:i w:val="0"/>
                <w:iCs w:val="0"/>
                <w:color w:val="000000"/>
                <w:sz w:val="22"/>
                <w:szCs w:val="22"/>
                <w:u w:val="none"/>
              </w:rPr>
            </w:pPr>
          </w:p>
        </w:tc>
      </w:tr>
    </w:tbl>
    <w:p>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注：如该表与采购需求不一致，以采购需求为准。</w:t>
      </w: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报价单位：</w:t>
      </w:r>
      <w:r>
        <w:rPr>
          <w:rFonts w:hint="eastAsia" w:ascii="宋体" w:hAnsi="宋体" w:eastAsia="宋体" w:cs="宋体"/>
          <w:b/>
          <w:bCs/>
          <w:sz w:val="24"/>
          <w:szCs w:val="24"/>
        </w:rPr>
        <w:tab/>
      </w:r>
      <w:r>
        <w:rPr>
          <w:rFonts w:hint="eastAsia" w:ascii="宋体" w:hAnsi="宋体" w:eastAsia="宋体" w:cs="宋体"/>
          <w:b/>
          <w:bCs/>
          <w:sz w:val="24"/>
          <w:szCs w:val="24"/>
        </w:rPr>
        <w:tab/>
      </w:r>
    </w:p>
    <w:p>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（公章）</w:t>
      </w:r>
      <w:r>
        <w:rPr>
          <w:rFonts w:hint="eastAsia" w:ascii="宋体" w:hAnsi="宋体" w:eastAsia="宋体" w:cs="宋体"/>
          <w:b/>
          <w:bCs/>
          <w:sz w:val="24"/>
          <w:szCs w:val="24"/>
        </w:rPr>
        <w:tab/>
      </w:r>
      <w:r>
        <w:rPr>
          <w:rFonts w:hint="eastAsia" w:ascii="宋体" w:hAnsi="宋体" w:eastAsia="宋体" w:cs="宋体"/>
          <w:b/>
          <w:bCs/>
          <w:sz w:val="24"/>
          <w:szCs w:val="24"/>
        </w:rPr>
        <w:tab/>
      </w: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报价日期：</w:t>
      </w:r>
      <w:r>
        <w:rPr>
          <w:rFonts w:hint="eastAsia" w:ascii="宋体" w:hAnsi="宋体" w:eastAsia="宋体" w:cs="宋体"/>
          <w:b/>
          <w:bCs/>
          <w:sz w:val="24"/>
          <w:szCs w:val="24"/>
        </w:rPr>
        <w:tab/>
      </w:r>
      <w:r>
        <w:rPr>
          <w:rFonts w:hint="eastAsia" w:ascii="宋体" w:hAnsi="宋体" w:eastAsia="宋体" w:cs="宋体"/>
          <w:b/>
          <w:bCs/>
          <w:sz w:val="24"/>
          <w:szCs w:val="24"/>
        </w:rPr>
        <w:tab/>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4MjViNTdiMTdlMzE3ODU5NGNkMGE5ZjI2YmZmYjQifQ=="/>
  </w:docVars>
  <w:rsids>
    <w:rsidRoot w:val="18497086"/>
    <w:rsid w:val="159D0D44"/>
    <w:rsid w:val="18497086"/>
    <w:rsid w:val="21966433"/>
    <w:rsid w:val="477978BF"/>
    <w:rsid w:val="64D916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styleId="4">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1297</Words>
  <Characters>1389</Characters>
  <Lines>0</Lines>
  <Paragraphs>0</Paragraphs>
  <TotalTime>0</TotalTime>
  <ScaleCrop>false</ScaleCrop>
  <LinksUpToDate>false</LinksUpToDate>
  <CharactersWithSpaces>1407</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2023-11-29T01:43:00Z</dcterms:created>
  <dc:creator>  </dc:creator>
  <cp:lastModifiedBy>  </cp:lastModifiedBy>
  <dcterms:modified xsi:type="dcterms:W3CDTF">2023-11-29T08:04:49Z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5CFFE81BF82C4D34BA01B7C86E50AD87_11</vt:lpwstr>
  </property>
</Properties>
</file>