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5C2426">
      <w:pPr>
        <w:keepNext w:val="0"/>
        <w:keepLines w:val="0"/>
        <w:pageBreakBefore w:val="0"/>
        <w:widowControl/>
        <w:suppressLineNumbers w:val="0"/>
        <w:kinsoku/>
        <w:wordWrap/>
        <w:overflowPunct/>
        <w:topLinePunct w:val="0"/>
        <w:autoSpaceDE/>
        <w:autoSpaceDN/>
        <w:bidi w:val="0"/>
        <w:adjustRightInd/>
        <w:snapToGrid/>
        <w:spacing w:after="157" w:afterLines="50"/>
        <w:jc w:val="center"/>
        <w:textAlignment w:val="center"/>
        <w:rPr>
          <w:rFonts w:hint="eastAsia" w:ascii="宋体" w:hAnsi="宋体" w:eastAsia="宋体" w:cs="宋体"/>
          <w:b/>
          <w:bCs/>
          <w:i w:val="0"/>
          <w:iCs w:val="0"/>
          <w:color w:val="000000"/>
          <w:kern w:val="0"/>
          <w:sz w:val="36"/>
          <w:szCs w:val="36"/>
          <w:u w:val="none"/>
          <w:lang w:val="en-US" w:eastAsia="zh-CN" w:bidi="ar"/>
        </w:rPr>
      </w:pPr>
      <w:r>
        <w:rPr>
          <w:rFonts w:hint="eastAsia" w:ascii="宋体" w:hAnsi="宋体" w:eastAsia="宋体" w:cs="宋体"/>
          <w:b/>
          <w:bCs/>
          <w:i w:val="0"/>
          <w:iCs w:val="0"/>
          <w:color w:val="000000"/>
          <w:kern w:val="0"/>
          <w:sz w:val="36"/>
          <w:szCs w:val="36"/>
          <w:u w:val="none"/>
          <w:lang w:val="en-US" w:eastAsia="zh-CN" w:bidi="ar"/>
        </w:rPr>
        <w:t>电子竞价报价一览表</w:t>
      </w:r>
    </w:p>
    <w:p w14:paraId="389D527F">
      <w:pPr>
        <w:keepNext w:val="0"/>
        <w:keepLines w:val="0"/>
        <w:widowControl/>
        <w:suppressLineNumbers w:val="0"/>
        <w:spacing w:line="360" w:lineRule="auto"/>
        <w:jc w:val="left"/>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电子询价项目名称：韶关市气象局汽车租赁服务项目</w:t>
      </w:r>
    </w:p>
    <w:p w14:paraId="28E02A41">
      <w:pPr>
        <w:keepNext w:val="0"/>
        <w:keepLines w:val="0"/>
        <w:widowControl/>
        <w:suppressLineNumbers w:val="0"/>
        <w:spacing w:line="360" w:lineRule="auto"/>
        <w:jc w:val="left"/>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电子询价项目编号：2026-026-GDHZ-DZX                                                          预算金额：¥0.00</w:t>
      </w:r>
    </w:p>
    <w:tbl>
      <w:tblPr>
        <w:tblStyle w:val="4"/>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61"/>
        <w:gridCol w:w="1155"/>
        <w:gridCol w:w="8960"/>
        <w:gridCol w:w="1063"/>
        <w:gridCol w:w="670"/>
        <w:gridCol w:w="427"/>
        <w:gridCol w:w="818"/>
        <w:gridCol w:w="427"/>
      </w:tblGrid>
      <w:tr w14:paraId="70778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5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F139E">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40AB3">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采购标的</w:t>
            </w:r>
          </w:p>
        </w:tc>
        <w:tc>
          <w:tcPr>
            <w:tcW w:w="8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4C66F">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采购需求的技术、服务要求</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72AB9">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报价产品的技术、服务响应情况</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0A8F8">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是否满足要求</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0F6D1">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29DF1">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下浮率（%）</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59CA9">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w:t>
            </w:r>
          </w:p>
        </w:tc>
      </w:tr>
      <w:tr w14:paraId="21154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5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80C53">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79D74">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韶关市气象局汽车租赁服务项目</w:t>
            </w:r>
          </w:p>
        </w:tc>
        <w:tc>
          <w:tcPr>
            <w:tcW w:w="8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C19F8">
            <w:pPr>
              <w:keepNext w:val="0"/>
              <w:keepLines w:val="0"/>
              <w:pageBreakBefore w:val="0"/>
              <w:numPr>
                <w:ilvl w:val="0"/>
                <w:numId w:val="1"/>
              </w:numPr>
              <w:kinsoku/>
              <w:wordWrap/>
              <w:overflowPunct/>
              <w:topLinePunct w:val="0"/>
              <w:autoSpaceDE/>
              <w:autoSpaceDN/>
              <w:bidi w:val="0"/>
              <w:snapToGrid/>
              <w:spacing w:line="240" w:lineRule="auto"/>
              <w:ind w:firstLine="422" w:firstLineChars="200"/>
              <w:outlineLvl w:val="9"/>
              <w:rPr>
                <w:rFonts w:hint="eastAsia" w:ascii="宋体" w:hAnsi="宋体" w:eastAsia="宋体" w:cs="宋体"/>
                <w:sz w:val="21"/>
                <w:szCs w:val="21"/>
                <w:highlight w:val="none"/>
              </w:rPr>
            </w:pPr>
            <w:r>
              <w:rPr>
                <w:rFonts w:hint="eastAsia" w:ascii="宋体" w:hAnsi="宋体" w:eastAsia="宋体" w:cs="宋体"/>
                <w:b/>
                <w:bCs/>
                <w:sz w:val="21"/>
                <w:szCs w:val="21"/>
                <w:highlight w:val="none"/>
              </w:rPr>
              <w:t>采购需求一览表</w:t>
            </w:r>
          </w:p>
          <w:tbl>
            <w:tblPr>
              <w:tblStyle w:val="4"/>
              <w:tblW w:w="4792" w:type="pct"/>
              <w:jc w:val="center"/>
              <w:tblLayout w:type="fixed"/>
              <w:tblCellMar>
                <w:top w:w="0" w:type="dxa"/>
                <w:left w:w="0" w:type="dxa"/>
                <w:bottom w:w="0" w:type="dxa"/>
                <w:right w:w="0" w:type="dxa"/>
              </w:tblCellMar>
            </w:tblPr>
            <w:tblGrid>
              <w:gridCol w:w="729"/>
              <w:gridCol w:w="1845"/>
              <w:gridCol w:w="676"/>
              <w:gridCol w:w="2220"/>
              <w:gridCol w:w="2910"/>
            </w:tblGrid>
            <w:tr w14:paraId="2CEB4FCA">
              <w:tblPrEx>
                <w:tblCellMar>
                  <w:top w:w="0" w:type="dxa"/>
                  <w:left w:w="0" w:type="dxa"/>
                  <w:bottom w:w="0" w:type="dxa"/>
                  <w:right w:w="0" w:type="dxa"/>
                </w:tblCellMar>
              </w:tblPrEx>
              <w:trPr>
                <w:trHeight w:val="352" w:hRule="atLeast"/>
                <w:jc w:val="center"/>
              </w:trPr>
              <w:tc>
                <w:tcPr>
                  <w:tcW w:w="435"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F67A376">
                  <w:pPr>
                    <w:keepNext w:val="0"/>
                    <w:keepLines w:val="0"/>
                    <w:pageBreakBefore w:val="0"/>
                    <w:widowControl/>
                    <w:kinsoku/>
                    <w:wordWrap/>
                    <w:overflowPunct/>
                    <w:topLinePunct w:val="0"/>
                    <w:autoSpaceDE/>
                    <w:autoSpaceDN/>
                    <w:bidi w:val="0"/>
                    <w:snapToGrid/>
                    <w:spacing w:line="240" w:lineRule="auto"/>
                    <w:jc w:val="center"/>
                    <w:textAlignment w:val="center"/>
                    <w:outlineLvl w:val="9"/>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序号</w:t>
                  </w:r>
                </w:p>
              </w:tc>
              <w:tc>
                <w:tcPr>
                  <w:tcW w:w="110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7ED8B3E5">
                  <w:pPr>
                    <w:keepNext w:val="0"/>
                    <w:keepLines w:val="0"/>
                    <w:pageBreakBefore w:val="0"/>
                    <w:widowControl/>
                    <w:kinsoku/>
                    <w:wordWrap/>
                    <w:overflowPunct/>
                    <w:topLinePunct w:val="0"/>
                    <w:autoSpaceDE/>
                    <w:autoSpaceDN/>
                    <w:bidi w:val="0"/>
                    <w:snapToGrid/>
                    <w:spacing w:line="240" w:lineRule="auto"/>
                    <w:jc w:val="center"/>
                    <w:textAlignment w:val="center"/>
                    <w:outlineLvl w:val="9"/>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采购内容</w:t>
                  </w:r>
                </w:p>
              </w:tc>
              <w:tc>
                <w:tcPr>
                  <w:tcW w:w="40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4B9FE48">
                  <w:pPr>
                    <w:keepNext w:val="0"/>
                    <w:keepLines w:val="0"/>
                    <w:pageBreakBefore w:val="0"/>
                    <w:widowControl/>
                    <w:kinsoku/>
                    <w:wordWrap/>
                    <w:overflowPunct/>
                    <w:topLinePunct w:val="0"/>
                    <w:autoSpaceDE/>
                    <w:autoSpaceDN/>
                    <w:bidi w:val="0"/>
                    <w:snapToGrid/>
                    <w:spacing w:line="240" w:lineRule="auto"/>
                    <w:jc w:val="center"/>
                    <w:textAlignment w:val="center"/>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数量</w:t>
                  </w:r>
                </w:p>
              </w:tc>
              <w:tc>
                <w:tcPr>
                  <w:tcW w:w="132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16F99E7D">
                  <w:pPr>
                    <w:keepNext w:val="0"/>
                    <w:keepLines w:val="0"/>
                    <w:pageBreakBefore w:val="0"/>
                    <w:widowControl/>
                    <w:kinsoku/>
                    <w:wordWrap/>
                    <w:overflowPunct/>
                    <w:topLinePunct w:val="0"/>
                    <w:autoSpaceDE/>
                    <w:autoSpaceDN/>
                    <w:bidi w:val="0"/>
                    <w:snapToGrid/>
                    <w:spacing w:line="240" w:lineRule="auto"/>
                    <w:jc w:val="center"/>
                    <w:textAlignment w:val="center"/>
                    <w:outlineLvl w:val="9"/>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服务期</w:t>
                  </w:r>
                </w:p>
              </w:tc>
              <w:tc>
                <w:tcPr>
                  <w:tcW w:w="1735"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C02A689">
                  <w:pPr>
                    <w:keepNext w:val="0"/>
                    <w:keepLines w:val="0"/>
                    <w:pageBreakBefore w:val="0"/>
                    <w:widowControl/>
                    <w:kinsoku/>
                    <w:wordWrap/>
                    <w:overflowPunct/>
                    <w:topLinePunct w:val="0"/>
                    <w:autoSpaceDE/>
                    <w:autoSpaceDN/>
                    <w:bidi w:val="0"/>
                    <w:snapToGrid/>
                    <w:spacing w:line="240" w:lineRule="auto"/>
                    <w:jc w:val="center"/>
                    <w:textAlignment w:val="center"/>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单价最高限价（元）</w:t>
                  </w:r>
                </w:p>
              </w:tc>
            </w:tr>
            <w:tr w14:paraId="21906F8B">
              <w:tblPrEx>
                <w:tblCellMar>
                  <w:top w:w="0" w:type="dxa"/>
                  <w:left w:w="0" w:type="dxa"/>
                  <w:bottom w:w="0" w:type="dxa"/>
                  <w:right w:w="0" w:type="dxa"/>
                </w:tblCellMar>
              </w:tblPrEx>
              <w:trPr>
                <w:trHeight w:val="924" w:hRule="atLeast"/>
                <w:jc w:val="center"/>
              </w:trPr>
              <w:tc>
                <w:tcPr>
                  <w:tcW w:w="435"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7C4826AD">
                  <w:pPr>
                    <w:keepNext w:val="0"/>
                    <w:keepLines w:val="0"/>
                    <w:pageBreakBefore w:val="0"/>
                    <w:kinsoku/>
                    <w:wordWrap/>
                    <w:overflowPunct/>
                    <w:topLinePunct w:val="0"/>
                    <w:autoSpaceDE/>
                    <w:autoSpaceDN/>
                    <w:bidi w:val="0"/>
                    <w:snapToGrid/>
                    <w:spacing w:line="240" w:lineRule="auto"/>
                    <w:jc w:val="center"/>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110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607008E2">
                  <w:pPr>
                    <w:keepNext w:val="0"/>
                    <w:keepLines w:val="0"/>
                    <w:pageBreakBefore w:val="0"/>
                    <w:kinsoku/>
                    <w:wordWrap/>
                    <w:overflowPunct/>
                    <w:topLinePunct w:val="0"/>
                    <w:autoSpaceDE/>
                    <w:autoSpaceDN/>
                    <w:bidi w:val="0"/>
                    <w:snapToGrid/>
                    <w:spacing w:line="240" w:lineRule="auto"/>
                    <w:jc w:val="center"/>
                    <w:outlineLvl w:val="9"/>
                    <w:rPr>
                      <w:rFonts w:hint="eastAsia" w:ascii="宋体" w:hAnsi="宋体" w:eastAsia="宋体" w:cs="宋体"/>
                      <w:sz w:val="21"/>
                      <w:szCs w:val="21"/>
                      <w:highlight w:val="none"/>
                      <w:lang w:eastAsia="zh-CN"/>
                    </w:rPr>
                  </w:pPr>
                  <w:r>
                    <w:rPr>
                      <w:rFonts w:hint="eastAsia" w:ascii="宋体" w:hAnsi="宋体" w:eastAsia="宋体" w:cs="宋体"/>
                      <w:color w:val="000000"/>
                      <w:sz w:val="21"/>
                      <w:szCs w:val="21"/>
                      <w:highlight w:val="none"/>
                      <w:lang w:eastAsia="zh-CN"/>
                    </w:rPr>
                    <w:t>韶关市气象局汽车租赁服务项目</w:t>
                  </w:r>
                </w:p>
              </w:tc>
              <w:tc>
                <w:tcPr>
                  <w:tcW w:w="40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12D8C9A7">
                  <w:pPr>
                    <w:keepNext w:val="0"/>
                    <w:keepLines w:val="0"/>
                    <w:pageBreakBefore w:val="0"/>
                    <w:kinsoku/>
                    <w:wordWrap/>
                    <w:overflowPunct/>
                    <w:topLinePunct w:val="0"/>
                    <w:autoSpaceDE/>
                    <w:autoSpaceDN/>
                    <w:bidi w:val="0"/>
                    <w:snapToGrid/>
                    <w:spacing w:line="240" w:lineRule="auto"/>
                    <w:jc w:val="center"/>
                    <w:outlineLvl w:val="9"/>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1</w:t>
                  </w:r>
                  <w:bookmarkStart w:id="0" w:name="_GoBack"/>
                  <w:bookmarkEnd w:id="0"/>
                  <w:r>
                    <w:rPr>
                      <w:rFonts w:hint="eastAsia" w:ascii="宋体" w:hAnsi="宋体" w:eastAsia="宋体" w:cs="宋体"/>
                      <w:sz w:val="21"/>
                      <w:szCs w:val="21"/>
                      <w:highlight w:val="none"/>
                      <w:lang w:val="en-US" w:eastAsia="zh-CN"/>
                    </w:rPr>
                    <w:t>项</w:t>
                  </w:r>
                </w:p>
              </w:tc>
              <w:tc>
                <w:tcPr>
                  <w:tcW w:w="132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7C75C9FE">
                  <w:pPr>
                    <w:keepNext w:val="0"/>
                    <w:keepLines w:val="0"/>
                    <w:pageBreakBefore w:val="0"/>
                    <w:kinsoku/>
                    <w:wordWrap/>
                    <w:overflowPunct/>
                    <w:topLinePunct w:val="0"/>
                    <w:autoSpaceDE/>
                    <w:autoSpaceDN/>
                    <w:bidi w:val="0"/>
                    <w:snapToGrid/>
                    <w:spacing w:line="240" w:lineRule="auto"/>
                    <w:jc w:val="center"/>
                    <w:outlineLvl w:val="9"/>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eastAsia="zh-CN"/>
                    </w:rPr>
                    <w:t>自合同签订之日起3年</w:t>
                  </w:r>
                </w:p>
              </w:tc>
              <w:tc>
                <w:tcPr>
                  <w:tcW w:w="1735"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B8DB329">
                  <w:pPr>
                    <w:keepNext w:val="0"/>
                    <w:keepLines w:val="0"/>
                    <w:pageBreakBefore w:val="0"/>
                    <w:kinsoku/>
                    <w:wordWrap/>
                    <w:overflowPunct/>
                    <w:topLinePunct w:val="0"/>
                    <w:autoSpaceDE/>
                    <w:autoSpaceDN/>
                    <w:bidi w:val="0"/>
                    <w:snapToGrid/>
                    <w:spacing w:line="240" w:lineRule="auto"/>
                    <w:jc w:val="center"/>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商务车320元/天</w:t>
                  </w:r>
                </w:p>
                <w:p w14:paraId="22CA27C6">
                  <w:pPr>
                    <w:keepNext w:val="0"/>
                    <w:keepLines w:val="0"/>
                    <w:pageBreakBefore w:val="0"/>
                    <w:kinsoku/>
                    <w:wordWrap/>
                    <w:overflowPunct/>
                    <w:topLinePunct w:val="0"/>
                    <w:autoSpaceDE/>
                    <w:autoSpaceDN/>
                    <w:bidi w:val="0"/>
                    <w:snapToGrid/>
                    <w:spacing w:line="240" w:lineRule="auto"/>
                    <w:jc w:val="center"/>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皮卡车3600元/月</w:t>
                  </w:r>
                </w:p>
                <w:p w14:paraId="55DE3CF9">
                  <w:pPr>
                    <w:keepNext w:val="0"/>
                    <w:keepLines w:val="0"/>
                    <w:pageBreakBefore w:val="0"/>
                    <w:kinsoku/>
                    <w:wordWrap/>
                    <w:overflowPunct/>
                    <w:topLinePunct w:val="0"/>
                    <w:autoSpaceDE/>
                    <w:autoSpaceDN/>
                    <w:bidi w:val="0"/>
                    <w:snapToGrid/>
                    <w:spacing w:line="240" w:lineRule="auto"/>
                    <w:jc w:val="center"/>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小轿车100元/天，3000元/月</w:t>
                  </w:r>
                </w:p>
              </w:tc>
            </w:tr>
          </w:tbl>
          <w:p w14:paraId="39F5C9C8">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240" w:lineRule="auto"/>
              <w:textAlignment w:val="auto"/>
              <w:outlineLvl w:val="9"/>
              <w:rPr>
                <w:rFonts w:hint="eastAsia" w:ascii="宋体" w:hAnsi="宋体" w:eastAsia="宋体" w:cs="宋体"/>
                <w:b/>
                <w:bCs/>
                <w:sz w:val="21"/>
                <w:szCs w:val="21"/>
              </w:rPr>
            </w:pPr>
            <w:r>
              <w:rPr>
                <w:rFonts w:hint="eastAsia" w:ascii="宋体" w:hAnsi="宋体" w:eastAsia="宋体" w:cs="宋体"/>
                <w:b/>
                <w:bCs/>
                <w:sz w:val="21"/>
                <w:szCs w:val="21"/>
              </w:rPr>
              <w:t>★注：1.本项目不设置预算金额，根据实际租赁</w:t>
            </w:r>
            <w:r>
              <w:rPr>
                <w:rFonts w:hint="eastAsia" w:ascii="宋体" w:hAnsi="宋体" w:eastAsia="宋体" w:cs="宋体"/>
                <w:b/>
                <w:bCs/>
                <w:sz w:val="21"/>
                <w:szCs w:val="21"/>
                <w:lang w:val="en-US" w:eastAsia="zh-CN"/>
              </w:rPr>
              <w:t>情况</w:t>
            </w:r>
            <w:r>
              <w:rPr>
                <w:rFonts w:hint="eastAsia" w:ascii="宋体" w:hAnsi="宋体" w:eastAsia="宋体" w:cs="宋体"/>
                <w:b/>
                <w:bCs/>
                <w:sz w:val="21"/>
                <w:szCs w:val="21"/>
              </w:rPr>
              <w:t>结算。本项目实行整体下浮率报价，不接受区间报价(如 10％~15％)，0≦报价下浮率≦100%为有效报价区间，否则视为无效</w:t>
            </w:r>
            <w:r>
              <w:rPr>
                <w:rFonts w:hint="eastAsia" w:ascii="宋体" w:hAnsi="宋体" w:eastAsia="宋体" w:cs="宋体"/>
                <w:b/>
                <w:bCs/>
                <w:sz w:val="21"/>
                <w:szCs w:val="21"/>
                <w:lang w:val="en-US" w:eastAsia="zh-CN"/>
              </w:rPr>
              <w:t>响应</w:t>
            </w:r>
            <w:r>
              <w:rPr>
                <w:rFonts w:hint="eastAsia" w:ascii="宋体" w:hAnsi="宋体" w:eastAsia="宋体" w:cs="宋体"/>
                <w:b/>
                <w:bCs/>
                <w:sz w:val="21"/>
                <w:szCs w:val="21"/>
              </w:rPr>
              <w:t>。</w:t>
            </w:r>
          </w:p>
          <w:p w14:paraId="001E8821">
            <w:pPr>
              <w:keepNext w:val="0"/>
              <w:keepLines w:val="0"/>
              <w:pageBreakBefore w:val="0"/>
              <w:kinsoku/>
              <w:wordWrap/>
              <w:overflowPunct/>
              <w:topLinePunct w:val="0"/>
              <w:bidi w:val="0"/>
              <w:snapToGrid/>
              <w:spacing w:line="240" w:lineRule="auto"/>
              <w:ind w:firstLine="632" w:firstLineChars="300"/>
              <w:outlineLvl w:val="9"/>
              <w:rPr>
                <w:rFonts w:hint="eastAsia" w:ascii="宋体" w:hAnsi="宋体" w:eastAsia="宋体" w:cs="宋体"/>
                <w:b/>
                <w:bCs/>
                <w:sz w:val="21"/>
                <w:szCs w:val="21"/>
              </w:rPr>
            </w:pPr>
            <w:r>
              <w:rPr>
                <w:rFonts w:hint="eastAsia" w:ascii="宋体" w:hAnsi="宋体" w:eastAsia="宋体" w:cs="宋体"/>
                <w:b/>
                <w:bCs/>
                <w:sz w:val="21"/>
                <w:szCs w:val="21"/>
              </w:rPr>
              <w:t>2.</w:t>
            </w:r>
            <w:r>
              <w:rPr>
                <w:rFonts w:hint="eastAsia" w:ascii="宋体" w:hAnsi="宋体" w:eastAsia="宋体" w:cs="宋体"/>
                <w:b/>
                <w:bCs/>
                <w:sz w:val="21"/>
                <w:szCs w:val="21"/>
                <w:lang w:val="en-US" w:eastAsia="zh-CN"/>
              </w:rPr>
              <w:t>供应商</w:t>
            </w:r>
            <w:r>
              <w:rPr>
                <w:rFonts w:hint="eastAsia" w:ascii="宋体" w:hAnsi="宋体" w:eastAsia="宋体" w:cs="宋体"/>
                <w:b/>
                <w:bCs/>
                <w:sz w:val="21"/>
                <w:szCs w:val="21"/>
              </w:rPr>
              <w:t>必须对本项目所投全部内容进行投标报价，如有缺漏，将导致投标无效。</w:t>
            </w:r>
          </w:p>
          <w:p w14:paraId="326BAA9B">
            <w:pPr>
              <w:keepNext w:val="0"/>
              <w:keepLines w:val="0"/>
              <w:pageBreakBefore w:val="0"/>
              <w:kinsoku/>
              <w:wordWrap/>
              <w:overflowPunct/>
              <w:topLinePunct w:val="0"/>
              <w:bidi w:val="0"/>
              <w:snapToGrid/>
              <w:spacing w:line="240" w:lineRule="auto"/>
              <w:ind w:firstLine="632" w:firstLineChars="300"/>
              <w:outlineLvl w:val="9"/>
              <w:rPr>
                <w:rFonts w:hint="eastAsia" w:ascii="宋体" w:hAnsi="宋体" w:eastAsia="宋体" w:cs="宋体"/>
                <w:b/>
                <w:bCs/>
                <w:sz w:val="21"/>
                <w:szCs w:val="21"/>
                <w:lang w:val="en-US" w:eastAsia="zh-CN"/>
              </w:rPr>
            </w:pPr>
            <w:r>
              <w:rPr>
                <w:rFonts w:hint="eastAsia" w:ascii="宋体" w:hAnsi="宋体" w:eastAsia="宋体" w:cs="宋体"/>
                <w:b/>
                <w:bCs/>
                <w:sz w:val="21"/>
                <w:szCs w:val="21"/>
              </w:rPr>
              <w:t>3.报价应为含税全包价，包含但不限于：车辆租用费，车辆折旧，车辆年审，保养费，保险费，管理费，服务费</w:t>
            </w:r>
            <w:r>
              <w:rPr>
                <w:rFonts w:hint="eastAsia" w:ascii="宋体" w:hAnsi="宋体" w:eastAsia="宋体" w:cs="宋体"/>
                <w:b/>
                <w:bCs/>
                <w:sz w:val="21"/>
                <w:szCs w:val="21"/>
                <w:lang w:val="en-US" w:eastAsia="zh-CN"/>
              </w:rPr>
              <w:t>等</w:t>
            </w:r>
            <w:r>
              <w:rPr>
                <w:rFonts w:hint="eastAsia" w:ascii="宋体" w:hAnsi="宋体" w:eastAsia="宋体" w:cs="宋体"/>
                <w:b/>
                <w:bCs/>
                <w:sz w:val="21"/>
                <w:szCs w:val="21"/>
              </w:rPr>
              <w:t>，</w:t>
            </w:r>
            <w:r>
              <w:rPr>
                <w:rFonts w:hint="eastAsia" w:ascii="宋体" w:hAnsi="宋体" w:eastAsia="宋体" w:cs="宋体"/>
                <w:b/>
                <w:bCs/>
                <w:sz w:val="21"/>
                <w:szCs w:val="21"/>
                <w:lang w:val="en-US" w:eastAsia="zh-CN"/>
              </w:rPr>
              <w:t>不含</w:t>
            </w:r>
            <w:r>
              <w:rPr>
                <w:rFonts w:hint="eastAsia" w:ascii="宋体" w:hAnsi="宋体" w:eastAsia="宋体" w:cs="宋体"/>
                <w:b/>
                <w:bCs/>
                <w:sz w:val="21"/>
                <w:szCs w:val="21"/>
              </w:rPr>
              <w:t>燃油费</w:t>
            </w:r>
            <w:r>
              <w:rPr>
                <w:rFonts w:hint="eastAsia" w:ascii="宋体" w:hAnsi="宋体" w:eastAsia="宋体" w:cs="宋体"/>
                <w:b/>
                <w:bCs/>
                <w:sz w:val="21"/>
                <w:szCs w:val="21"/>
                <w:lang w:eastAsia="zh-CN"/>
              </w:rPr>
              <w:t>，</w:t>
            </w:r>
            <w:r>
              <w:rPr>
                <w:rFonts w:hint="eastAsia" w:ascii="宋体" w:hAnsi="宋体" w:eastAsia="宋体" w:cs="宋体"/>
                <w:b/>
                <w:bCs/>
                <w:sz w:val="21"/>
                <w:szCs w:val="21"/>
              </w:rPr>
              <w:t>通行费</w:t>
            </w:r>
            <w:r>
              <w:rPr>
                <w:rFonts w:hint="eastAsia" w:ascii="宋体" w:hAnsi="宋体" w:eastAsia="宋体" w:cs="宋体"/>
                <w:b/>
                <w:bCs/>
                <w:sz w:val="21"/>
                <w:szCs w:val="21"/>
                <w:lang w:eastAsia="zh-CN"/>
              </w:rPr>
              <w:t>，</w:t>
            </w:r>
            <w:r>
              <w:rPr>
                <w:rFonts w:hint="eastAsia" w:ascii="宋体" w:hAnsi="宋体" w:eastAsia="宋体" w:cs="宋体"/>
                <w:b/>
                <w:bCs/>
                <w:sz w:val="21"/>
                <w:szCs w:val="21"/>
              </w:rPr>
              <w:t>停车费，违章罚款，运行过程所发生的过桥过路费</w:t>
            </w:r>
            <w:r>
              <w:rPr>
                <w:rFonts w:hint="eastAsia" w:ascii="宋体" w:hAnsi="宋体" w:eastAsia="宋体" w:cs="宋体"/>
                <w:b/>
                <w:bCs/>
                <w:sz w:val="21"/>
                <w:szCs w:val="21"/>
                <w:lang w:val="en-US" w:eastAsia="zh-CN"/>
              </w:rPr>
              <w:t>等</w:t>
            </w:r>
            <w:r>
              <w:rPr>
                <w:rFonts w:hint="eastAsia" w:ascii="宋体" w:hAnsi="宋体" w:eastAsia="宋体" w:cs="宋体"/>
                <w:b/>
                <w:bCs/>
                <w:sz w:val="21"/>
                <w:szCs w:val="21"/>
              </w:rPr>
              <w:t>。</w:t>
            </w:r>
          </w:p>
          <w:p w14:paraId="0F30D79A">
            <w:pPr>
              <w:keepNext w:val="0"/>
              <w:keepLines w:val="0"/>
              <w:pageBreakBefore w:val="0"/>
              <w:widowControl w:val="0"/>
              <w:numPr>
                <w:ilvl w:val="0"/>
                <w:numId w:val="1"/>
              </w:numPr>
              <w:kinsoku/>
              <w:wordWrap/>
              <w:overflowPunct/>
              <w:topLinePunct w:val="0"/>
              <w:autoSpaceDE/>
              <w:autoSpaceDN/>
              <w:bidi w:val="0"/>
              <w:adjustRightInd/>
              <w:snapToGrid/>
              <w:spacing w:before="157" w:beforeLines="50" w:line="240" w:lineRule="auto"/>
              <w:ind w:firstLine="422" w:firstLineChars="200"/>
              <w:textAlignment w:val="auto"/>
              <w:outlineLvl w:val="9"/>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采购项目概况</w:t>
            </w:r>
          </w:p>
          <w:p w14:paraId="0C887F5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供应商根据采购人实际需求为采购人提供汽车租赁服务,租赁方式原则上按一事一租方式办理，具体租赁车辆类型、时间以每次双方确认为准。</w:t>
            </w:r>
          </w:p>
          <w:p w14:paraId="428198E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供应商向采购人交付车辆时，双方应对车况进行检验记录，并在《车辆交接单》上签字确认，采购人保证归还车辆时车况与验车单相符。</w:t>
            </w:r>
          </w:p>
          <w:p w14:paraId="7AA4D626">
            <w:pPr>
              <w:keepNext w:val="0"/>
              <w:keepLines w:val="0"/>
              <w:pageBreakBefore w:val="0"/>
              <w:widowControl w:val="0"/>
              <w:numPr>
                <w:ilvl w:val="0"/>
                <w:numId w:val="1"/>
              </w:numPr>
              <w:kinsoku/>
              <w:wordWrap/>
              <w:overflowPunct/>
              <w:topLinePunct w:val="0"/>
              <w:autoSpaceDE/>
              <w:autoSpaceDN/>
              <w:bidi w:val="0"/>
              <w:adjustRightInd/>
              <w:snapToGrid/>
              <w:spacing w:before="157" w:beforeLines="50" w:line="240" w:lineRule="auto"/>
              <w:ind w:firstLine="422" w:firstLineChars="200"/>
              <w:textAlignment w:val="auto"/>
              <w:outlineLvl w:val="9"/>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双方的责任、权利、义务</w:t>
            </w:r>
          </w:p>
          <w:p w14:paraId="7E099DCF">
            <w:pPr>
              <w:keepNext w:val="0"/>
              <w:keepLines w:val="0"/>
              <w:pageBreakBefore w:val="0"/>
              <w:widowControl w:val="0"/>
              <w:tabs>
                <w:tab w:val="center" w:pos="4153"/>
              </w:tabs>
              <w:kinsoku/>
              <w:wordWrap/>
              <w:overflowPunct/>
              <w:topLinePunct w:val="0"/>
              <w:autoSpaceDE/>
              <w:autoSpaceDN/>
              <w:bidi w:val="0"/>
              <w:adjustRightInd/>
              <w:snapToGrid/>
              <w:spacing w:line="240" w:lineRule="auto"/>
              <w:ind w:firstLine="422" w:firstLineChars="200"/>
              <w:textAlignment w:val="auto"/>
              <w:outlineLvl w:val="9"/>
              <w:rPr>
                <w:rFonts w:hint="eastAsia" w:ascii="宋体" w:hAnsi="宋体" w:eastAsia="宋体" w:cs="宋体"/>
                <w:b/>
                <w:color w:val="auto"/>
                <w:sz w:val="21"/>
                <w:szCs w:val="21"/>
                <w:lang w:eastAsia="zh-CN"/>
              </w:rPr>
            </w:pPr>
            <w:r>
              <w:rPr>
                <w:rFonts w:hint="eastAsia" w:ascii="宋体" w:hAnsi="宋体" w:eastAsia="宋体" w:cs="宋体"/>
                <w:b/>
                <w:bCs/>
                <w:sz w:val="21"/>
                <w:szCs w:val="21"/>
                <w:highlight w:val="none"/>
                <w:lang w:val="en-US" w:eastAsia="zh-CN"/>
              </w:rPr>
              <w:t>（一）采购人权利及义务</w:t>
            </w:r>
            <w:r>
              <w:rPr>
                <w:rFonts w:hint="eastAsia" w:ascii="宋体" w:hAnsi="宋体" w:eastAsia="宋体" w:cs="宋体"/>
                <w:b/>
                <w:bCs/>
                <w:color w:val="auto"/>
                <w:sz w:val="21"/>
                <w:szCs w:val="21"/>
                <w:lang w:eastAsia="zh-CN"/>
              </w:rPr>
              <w:tab/>
            </w:r>
          </w:p>
          <w:p w14:paraId="4C9A8C2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1.采购人保证将承租车辆交由具有合法驾驶资格的人员驾驶。并保证其驾驶的车辆类别与其驾驶证等级相符。如：拥有C1级别驾驶证的驾驶员只能驾驶C1及以下级别车辆，不得驾驶C1以上级别车辆。</w:t>
            </w:r>
          </w:p>
          <w:p w14:paraId="5ACDD3F9">
            <w:pPr>
              <w:keepNext w:val="0"/>
              <w:keepLines w:val="0"/>
              <w:pageBreakBefore w:val="0"/>
              <w:tabs>
                <w:tab w:val="left" w:pos="4395"/>
              </w:tabs>
              <w:kinsoku/>
              <w:wordWrap/>
              <w:overflowPunct/>
              <w:topLinePunct w:val="0"/>
              <w:bidi w:val="0"/>
              <w:snapToGrid/>
              <w:spacing w:line="240" w:lineRule="auto"/>
              <w:ind w:firstLine="420" w:firstLineChars="200"/>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采购人在租赁期间拥有所租车辆的使用权，须合法驾驶和使用租赁车辆，在租赁期间需严格遵守国家的法律法规，并承担因交通违法、违章行为、肇事等行为而负民事或刑事法律责任，或导致被执法部门扣车及罚没的，采购人需自行承担相应的法律责任及经济损失。</w:t>
            </w:r>
          </w:p>
          <w:p w14:paraId="7C76B2C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采购人在租赁期间发生交通事故造成租赁车辆被查封或需维修车辆的，查封或维修期间采购人应按本项目约定的价格支付租赁费；在查封或维修期间如需使用车辆的，需按实际车型、实际使用时间另外支付租赁费。采购人应尽快向司法机关提供担保将被查封的车辆解除查封。如因采购人交通事故导致供应商面临诉讼或公司账户被查封冻结的风险的，采购人应承担供应商一切损失赔偿责任，供应商在上述风险事件发生时已垫付的所有费用，包括但不限于诉讼费、律师费、医药费、赔偿金等，以及供应商公司账户被查封冻结期间（如有）的直接损失及间接损失，供应商有权向采购人追偿。</w:t>
            </w:r>
          </w:p>
          <w:p w14:paraId="4312647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采购人不得把所租车辆转借给第三者使用，不得利用所租车辆进行违法犯罪活动；不得进行包括盈利性经营、装载易燃易爆易腐蚀物品及作为教练车、参赛车、测试用车使用等在内的不当使用行为，否则供应商有权收回车辆并要求采购人赔偿因此造成的损失。</w:t>
            </w:r>
          </w:p>
          <w:p w14:paraId="6B73E31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5.采购人承担车辆租赁期间的停车费、桥路费、燃料费等费用及负责“三滤、离合器油、制动液、冷却液”等的每日检查工作，在车辆正常使用中出现故障或异常，采购人应立即通知供应商或将车辆开至供应商指定的维修厂，采购人不得自行拆卸、更换原车设备及零件。如因非正常使用造成的事故责任及损失费用均由采购人承担。</w:t>
            </w:r>
          </w:p>
          <w:p w14:paraId="4E6B22E2">
            <w:pPr>
              <w:keepNext w:val="0"/>
              <w:keepLines w:val="0"/>
              <w:pageBreakBefore w:val="0"/>
              <w:tabs>
                <w:tab w:val="left" w:pos="4395"/>
              </w:tabs>
              <w:kinsoku/>
              <w:wordWrap/>
              <w:overflowPunct/>
              <w:topLinePunct w:val="0"/>
              <w:bidi w:val="0"/>
              <w:snapToGrid/>
              <w:spacing w:line="240" w:lineRule="auto"/>
              <w:ind w:firstLine="420" w:firstLineChars="200"/>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6.采购人应按项目约定的范围内合法使用车辆、妥善保管并爱护车辆及其设备设施，不得私自调改车辆里程表，应保证所承租车辆的原态，不得自行改动、安装、替换或拆除租赁车辆上的零件、仪表或其它设备。如有损坏应照价赔偿，车辆一旦丢失，采购人需承担保险公司理赔完成前的租赁费用。</w:t>
            </w:r>
          </w:p>
          <w:p w14:paraId="0B5447E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7.采购人应按时归还车辆，归还时车况需与验车记录中所登记的一致。若供应商验收车辆时，发现有新形成的刮痕、碰撞、设备配件损坏或丢失，采购人应承担照价赔偿责任。</w:t>
            </w:r>
          </w:p>
          <w:p w14:paraId="6DD9144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8.采购人在车辆租赁期间有权合法正常用车，有权自由安排车辆的一切外出活动，无须告知供应商。</w:t>
            </w:r>
          </w:p>
          <w:p w14:paraId="2F58689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sz w:val="21"/>
                <w:szCs w:val="21"/>
              </w:rPr>
            </w:pPr>
            <w:r>
              <w:rPr>
                <w:rFonts w:hint="eastAsia" w:ascii="宋体" w:hAnsi="宋体" w:eastAsia="宋体" w:cs="宋体"/>
                <w:b w:val="0"/>
                <w:bCs w:val="0"/>
                <w:sz w:val="21"/>
                <w:szCs w:val="21"/>
                <w:highlight w:val="none"/>
                <w:lang w:val="en-US" w:eastAsia="zh-CN"/>
              </w:rPr>
              <w:t>9.采购人在项目期间享受无需担保、无需押金等优质服务，有权享受供应商在合同有效期内的特定时间内对社会举办的优惠活动政策和优惠价格。采购人有权对供应商承诺的项目价格、服务承诺等履约情况进行监督。</w:t>
            </w:r>
          </w:p>
          <w:p w14:paraId="1301315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
                <w:bCs/>
                <w:sz w:val="21"/>
                <w:szCs w:val="21"/>
                <w:highlight w:val="none"/>
                <w:lang w:val="en-US" w:eastAsia="zh-CN"/>
              </w:rPr>
            </w:pPr>
            <w:r>
              <w:rPr>
                <w:rFonts w:hint="eastAsia" w:ascii="宋体" w:hAnsi="宋体" w:eastAsia="宋体" w:cs="宋体"/>
                <w:b w:val="0"/>
                <w:bCs w:val="0"/>
                <w:sz w:val="21"/>
                <w:szCs w:val="21"/>
                <w:highlight w:val="none"/>
                <w:lang w:val="en-US" w:eastAsia="zh-CN"/>
              </w:rPr>
              <w:t>10.采购人有义务协调供应商在租赁业务开展中的关系和矛盾，与有关部门一起解决、处理汽车租赁服务过程中所发生的纠纷。</w:t>
            </w:r>
          </w:p>
          <w:p w14:paraId="3021EE86">
            <w:pPr>
              <w:keepNext w:val="0"/>
              <w:keepLines w:val="0"/>
              <w:pageBreakBefore w:val="0"/>
              <w:widowControl w:val="0"/>
              <w:tabs>
                <w:tab w:val="center" w:pos="4153"/>
              </w:tabs>
              <w:kinsoku/>
              <w:wordWrap/>
              <w:overflowPunct/>
              <w:topLinePunct w:val="0"/>
              <w:autoSpaceDE/>
              <w:autoSpaceDN/>
              <w:bidi w:val="0"/>
              <w:adjustRightInd/>
              <w:snapToGrid/>
              <w:spacing w:line="240" w:lineRule="auto"/>
              <w:ind w:firstLine="422" w:firstLineChars="200"/>
              <w:textAlignment w:val="auto"/>
              <w:outlineLvl w:val="9"/>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（二）供应商权利及义务</w:t>
            </w:r>
          </w:p>
          <w:p w14:paraId="059104A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1.供应商是租赁车辆的所有权人，采购人不得有任何侵犯供应商车辆所有权的行为。</w:t>
            </w:r>
          </w:p>
          <w:p w14:paraId="721B991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供应商应严格遵守国家法律、法规和相关规定，诚实、守信，合法经营，自觉维护用户的利益，全面履行报价承诺，自觉接受采购人考核评定、监督和管理，优先为采购人提供符合党政机关公务用车使用标准的汽车租车服务，确保高标准服务质量，以维护双方的信誉和利益。</w:t>
            </w:r>
          </w:p>
          <w:p w14:paraId="44102F0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3.供应商应向采购人交付证件齐备、设备齐全、运行状况良好、安全可靠的租赁车辆，以及租赁车辆行驶所需的有效证件。租赁车辆应装备符合标准的汽车行驶记录仪。</w:t>
            </w:r>
          </w:p>
          <w:p w14:paraId="035C8A5E">
            <w:pPr>
              <w:keepNext w:val="0"/>
              <w:keepLines w:val="0"/>
              <w:pageBreakBefore w:val="0"/>
              <w:tabs>
                <w:tab w:val="left" w:pos="4395"/>
              </w:tabs>
              <w:kinsoku/>
              <w:wordWrap/>
              <w:overflowPunct/>
              <w:topLinePunct w:val="0"/>
              <w:bidi w:val="0"/>
              <w:snapToGrid/>
              <w:spacing w:line="240" w:lineRule="auto"/>
              <w:ind w:firstLine="420" w:firstLineChars="200"/>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供应商负责出租车辆的保险费、车船税、年审等固定费用；供应商有权拒绝采购人提出的汽车租赁服务业务范围和供应商承诺以外的其它要求，确因工作需要，供应商有权收取采购人要求项目以外服务的合理费用。</w:t>
            </w:r>
          </w:p>
          <w:p w14:paraId="66773C1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5.供应商不承担采购人在租赁期间内所发生的交通违法行为、事故及其他事故造成的一切后果，包括有关部门的罚款等。供应商有权对采购人在租赁汽车过程中的不正当要求和违规行为进行投诉，并要求有关部门做出处理。</w:t>
            </w:r>
          </w:p>
          <w:p w14:paraId="7BACA5B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6.供应商负责租赁车辆的常规保养（半年或每行驶8000公里保养一次），对采购人按操作规程使用租赁车辆出现的故障提供维修服务。</w:t>
            </w:r>
          </w:p>
          <w:p w14:paraId="6492B9D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 xml:space="preserve">7.本项目所产生的各项政府税收，由供应商支付。 </w:t>
            </w:r>
          </w:p>
          <w:p w14:paraId="3E78774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8.供应商负责为租赁车辆办理车辆损失险、乘客座位险每座10万、第三者责任险300万元，除应投保法定的各种强制保险外，还应投保乘客的人身伤害保险，并承担全部保险费用。采购人可自愿购买其他险种，费用由采购人自理。承租的车辆发生保险事故时，由供应商负责索赔事宜，并承担相应法律责任。如事故对采购人造成伤害或损失，由供应商根据保险相关政策和规定对采购人进行赔偿。</w:t>
            </w:r>
          </w:p>
          <w:p w14:paraId="6DDD003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sz w:val="21"/>
                <w:szCs w:val="21"/>
              </w:rPr>
            </w:pPr>
            <w:r>
              <w:rPr>
                <w:rFonts w:hint="eastAsia" w:ascii="宋体" w:hAnsi="宋体" w:eastAsia="宋体" w:cs="宋体"/>
                <w:b w:val="0"/>
                <w:bCs w:val="0"/>
                <w:sz w:val="21"/>
                <w:szCs w:val="21"/>
                <w:highlight w:val="none"/>
                <w:lang w:val="en-US" w:eastAsia="zh-CN"/>
              </w:rPr>
              <w:t>9.若车辆在租赁期间发生保险事故，采购人应立即向交通管理部门报案，并及时通知供应商，供应商应协助采购人向保险公司报案，采购人必须协助供应商办理此事故的相关事宜。如属于保险赔付范围的费用由保险公司承担，属于保险责任免赔或其他原因导致保险公司拒赔的损失由采购人承担。</w:t>
            </w:r>
          </w:p>
          <w:p w14:paraId="10A61D8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10.在项目有效期内,如供应商下调市场价格，则供应商应按照报价承诺及时下调租赁价格，否则视为超过合同规定违规收费。供应商在项目有效期内的特定时间内举办优惠活动时，不得因价格优惠而减少服务内容、降低服务质量。</w:t>
            </w:r>
          </w:p>
          <w:p w14:paraId="43343F2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11.供应商应保证车辆租赁系统中各经营门店联系人、联系电话、预订电话真实有效，供应商的名称、地址等发生变化时，要及时通知采购人，如果未能及时告知所造成的不利影响由供应商承担；</w:t>
            </w:r>
          </w:p>
          <w:p w14:paraId="01DB470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
                <w:bCs/>
                <w:color w:val="000000"/>
                <w:sz w:val="21"/>
                <w:szCs w:val="21"/>
                <w:highlight w:val="none"/>
                <w:lang w:eastAsia="zh-CN"/>
              </w:rPr>
            </w:pPr>
            <w:r>
              <w:rPr>
                <w:rFonts w:hint="eastAsia" w:ascii="宋体" w:hAnsi="宋体" w:eastAsia="宋体" w:cs="宋体"/>
                <w:b w:val="0"/>
                <w:bCs w:val="0"/>
                <w:sz w:val="21"/>
                <w:szCs w:val="21"/>
                <w:highlight w:val="none"/>
                <w:lang w:val="en-US" w:eastAsia="zh-CN"/>
              </w:rPr>
              <w:t>12.供应商在单次服务终结时，必须填写租赁车辆行程确认单并经采购人签字确认。供应商定期填写汽车租赁对账单与采购人管理部门核对租赁情况，并请采购人对本次服务作出服务情况评价。</w:t>
            </w:r>
          </w:p>
          <w:p w14:paraId="1B9896E5">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422" w:firstLineChars="200"/>
              <w:textAlignment w:val="auto"/>
              <w:outlineLvl w:val="9"/>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商务要求</w:t>
            </w:r>
          </w:p>
          <w:p w14:paraId="5112E2A5">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left"/>
              <w:textAlignment w:val="auto"/>
              <w:outlineLvl w:val="9"/>
              <w:rPr>
                <w:rFonts w:hint="eastAsia" w:ascii="宋体" w:hAnsi="宋体" w:eastAsia="宋体" w:cs="宋体"/>
                <w:b/>
                <w:bCs/>
                <w:color w:val="000000"/>
                <w:sz w:val="21"/>
                <w:szCs w:val="21"/>
                <w:highlight w:val="none"/>
                <w:lang w:eastAsia="zh-CN"/>
              </w:rPr>
            </w:pPr>
            <w:r>
              <w:rPr>
                <w:rFonts w:hint="eastAsia" w:ascii="宋体" w:hAnsi="宋体" w:eastAsia="宋体" w:cs="宋体"/>
                <w:b/>
                <w:bCs/>
                <w:color w:val="000000"/>
                <w:sz w:val="21"/>
                <w:szCs w:val="21"/>
                <w:highlight w:val="none"/>
                <w:lang w:eastAsia="zh-CN"/>
              </w:rPr>
              <w:t>（一）</w:t>
            </w:r>
            <w:r>
              <w:rPr>
                <w:rFonts w:hint="eastAsia" w:ascii="宋体" w:hAnsi="宋体" w:eastAsia="宋体" w:cs="宋体"/>
                <w:b/>
                <w:bCs/>
                <w:color w:val="000000"/>
                <w:sz w:val="21"/>
                <w:szCs w:val="21"/>
                <w:highlight w:val="none"/>
                <w:lang w:val="en-US" w:eastAsia="zh-CN"/>
              </w:rPr>
              <w:t>服务期</w:t>
            </w:r>
          </w:p>
          <w:p w14:paraId="239F909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自合同签订之日起3年</w:t>
            </w:r>
          </w:p>
          <w:p w14:paraId="07218A7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2" w:firstLineChars="200"/>
              <w:textAlignment w:val="auto"/>
              <w:outlineLvl w:val="9"/>
              <w:rPr>
                <w:rFonts w:hint="eastAsia" w:ascii="宋体" w:hAnsi="宋体" w:eastAsia="宋体" w:cs="宋体"/>
                <w:b/>
                <w:bCs/>
                <w:sz w:val="21"/>
                <w:szCs w:val="21"/>
                <w:highlight w:val="none"/>
                <w:lang w:val="en-US" w:eastAsia="zh-CN"/>
              </w:rPr>
            </w:pPr>
            <w:r>
              <w:rPr>
                <w:rFonts w:hint="eastAsia" w:ascii="宋体" w:hAnsi="宋体" w:eastAsia="宋体" w:cs="宋体"/>
                <w:b/>
                <w:bCs/>
                <w:color w:val="000000"/>
                <w:sz w:val="21"/>
                <w:szCs w:val="21"/>
                <w:highlight w:val="none"/>
                <w:lang w:eastAsia="zh-CN"/>
              </w:rPr>
              <w:t>（</w:t>
            </w:r>
            <w:r>
              <w:rPr>
                <w:rFonts w:hint="eastAsia" w:ascii="宋体" w:hAnsi="宋体" w:eastAsia="宋体" w:cs="宋体"/>
                <w:b/>
                <w:bCs/>
                <w:color w:val="000000"/>
                <w:sz w:val="21"/>
                <w:szCs w:val="21"/>
                <w:highlight w:val="none"/>
                <w:lang w:val="en-US" w:eastAsia="zh-CN"/>
              </w:rPr>
              <w:t>二</w:t>
            </w:r>
            <w:r>
              <w:rPr>
                <w:rFonts w:hint="eastAsia" w:ascii="宋体" w:hAnsi="宋体" w:eastAsia="宋体" w:cs="宋体"/>
                <w:b/>
                <w:bCs/>
                <w:color w:val="000000"/>
                <w:sz w:val="21"/>
                <w:szCs w:val="21"/>
                <w:highlight w:val="none"/>
                <w:lang w:eastAsia="zh-CN"/>
              </w:rPr>
              <w:t>）</w:t>
            </w:r>
            <w:r>
              <w:rPr>
                <w:rFonts w:hint="eastAsia" w:ascii="宋体" w:hAnsi="宋体" w:eastAsia="宋体" w:cs="宋体"/>
                <w:b/>
                <w:bCs/>
                <w:sz w:val="21"/>
                <w:szCs w:val="21"/>
                <w:highlight w:val="none"/>
                <w:lang w:val="en-US" w:eastAsia="zh-CN"/>
              </w:rPr>
              <w:t>服务地点</w:t>
            </w:r>
          </w:p>
          <w:p w14:paraId="4756480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sz w:val="21"/>
                <w:szCs w:val="21"/>
                <w:lang w:val="en-US" w:eastAsia="zh-CN"/>
              </w:rPr>
            </w:pPr>
            <w:r>
              <w:rPr>
                <w:rFonts w:hint="eastAsia" w:ascii="宋体" w:hAnsi="宋体" w:eastAsia="宋体" w:cs="宋体"/>
                <w:b w:val="0"/>
                <w:bCs w:val="0"/>
                <w:sz w:val="21"/>
                <w:szCs w:val="21"/>
                <w:highlight w:val="none"/>
                <w:lang w:val="en-US" w:eastAsia="zh-CN"/>
              </w:rPr>
              <w:t>乳源瑶族自治县乳城镇北环中路11号。</w:t>
            </w:r>
          </w:p>
          <w:p w14:paraId="651C0A26">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left"/>
              <w:textAlignment w:val="auto"/>
              <w:outlineLvl w:val="9"/>
              <w:rPr>
                <w:rFonts w:hint="eastAsia" w:ascii="宋体" w:hAnsi="宋体" w:eastAsia="宋体" w:cs="宋体"/>
                <w:b/>
                <w:bCs/>
                <w:color w:val="000000"/>
                <w:sz w:val="21"/>
                <w:szCs w:val="21"/>
                <w:highlight w:val="none"/>
                <w:lang w:val="en-US" w:eastAsia="zh-CN"/>
              </w:rPr>
            </w:pPr>
            <w:r>
              <w:rPr>
                <w:rFonts w:hint="eastAsia" w:ascii="宋体" w:hAnsi="宋体" w:eastAsia="宋体" w:cs="宋体"/>
                <w:b/>
                <w:bCs/>
                <w:color w:val="000000"/>
                <w:sz w:val="21"/>
                <w:szCs w:val="21"/>
                <w:highlight w:val="none"/>
                <w:lang w:val="en-US" w:eastAsia="zh-CN"/>
              </w:rPr>
              <w:t>（三）报价要求</w:t>
            </w:r>
          </w:p>
          <w:p w14:paraId="1D171C74">
            <w:pPr>
              <w:pStyle w:val="6"/>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1.报价超出预算金额的列为无效响应处理。</w:t>
            </w:r>
          </w:p>
          <w:p w14:paraId="704CFBE9">
            <w:pPr>
              <w:pStyle w:val="6"/>
              <w:keepNext w:val="0"/>
              <w:keepLines w:val="0"/>
              <w:pageBreakBefore w:val="0"/>
              <w:widowControl w:val="0"/>
              <w:kinsoku/>
              <w:wordWrap/>
              <w:overflowPunct/>
              <w:topLinePunct w:val="0"/>
              <w:bidi w:val="0"/>
              <w:snapToGrid/>
              <w:spacing w:line="240" w:lineRule="auto"/>
              <w:ind w:firstLine="420" w:firstLineChars="200"/>
              <w:textAlignment w:val="auto"/>
              <w:outlineLvl w:val="9"/>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2.供应商必须对本项目的全部内容进行响应报价，如有缺漏，将导致响应无效。</w:t>
            </w:r>
          </w:p>
          <w:p w14:paraId="64C0F423">
            <w:pPr>
              <w:pStyle w:val="6"/>
              <w:keepNext w:val="0"/>
              <w:keepLines w:val="0"/>
              <w:pageBreakBefore w:val="0"/>
              <w:widowControl w:val="0"/>
              <w:kinsoku/>
              <w:wordWrap/>
              <w:overflowPunct/>
              <w:topLinePunct w:val="0"/>
              <w:bidi w:val="0"/>
              <w:snapToGrid/>
              <w:spacing w:line="240" w:lineRule="auto"/>
              <w:ind w:firstLine="420" w:firstLineChars="200"/>
              <w:textAlignment w:val="auto"/>
              <w:outlineLvl w:val="9"/>
              <w:rPr>
                <w:rFonts w:hint="eastAsia" w:ascii="宋体" w:hAnsi="宋体" w:eastAsia="宋体" w:cs="宋体"/>
                <w:b/>
                <w:bCs/>
                <w:color w:val="000000"/>
                <w:sz w:val="21"/>
                <w:szCs w:val="21"/>
                <w:highlight w:val="none"/>
                <w:lang w:val="en-US" w:eastAsia="zh-CN"/>
              </w:rPr>
            </w:pPr>
            <w:r>
              <w:rPr>
                <w:rFonts w:hint="eastAsia" w:ascii="宋体" w:hAnsi="宋体" w:eastAsia="宋体" w:cs="宋体"/>
                <w:b w:val="0"/>
                <w:bCs w:val="0"/>
                <w:kern w:val="2"/>
                <w:sz w:val="21"/>
                <w:szCs w:val="21"/>
                <w:highlight w:val="none"/>
                <w:lang w:val="en-US" w:eastAsia="zh-CN" w:bidi="ar-SA"/>
              </w:rPr>
              <w:t>3.供应商的报价为一次性报价，即在本项目服务期内价格固定不变；报价应为人民币含税全包价，包括车辆租用费、保险、车辆折旧费、年审费用、车船税、正常维修保养、管理费、服务费及税费等所有可能发生的一切费用。</w:t>
            </w:r>
          </w:p>
          <w:p w14:paraId="3297977E">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left"/>
              <w:textAlignment w:val="auto"/>
              <w:outlineLvl w:val="9"/>
              <w:rPr>
                <w:rFonts w:hint="eastAsia" w:ascii="宋体" w:hAnsi="宋体" w:eastAsia="宋体" w:cs="宋体"/>
                <w:b/>
                <w:bCs/>
                <w:color w:val="000000"/>
                <w:sz w:val="21"/>
                <w:szCs w:val="21"/>
                <w:highlight w:val="none"/>
                <w:lang w:val="en-US" w:eastAsia="zh-CN"/>
              </w:rPr>
            </w:pPr>
            <w:r>
              <w:rPr>
                <w:rFonts w:hint="eastAsia" w:ascii="宋体" w:hAnsi="宋体" w:eastAsia="宋体" w:cs="宋体"/>
                <w:b/>
                <w:bCs/>
                <w:color w:val="000000"/>
                <w:sz w:val="21"/>
                <w:szCs w:val="21"/>
                <w:highlight w:val="none"/>
                <w:lang w:val="en-US" w:eastAsia="zh-CN"/>
              </w:rPr>
              <w:t>（四）保养维修</w:t>
            </w:r>
          </w:p>
          <w:p w14:paraId="117A7D0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1.定期保养：车辆每次保养后行驶5000公里，到供应商指定的维修厂进行例行保养。</w:t>
            </w:r>
          </w:p>
          <w:p w14:paraId="7E396AA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如车辆发生故障或异常，采购人应通知供应商，由供应商负责处理。故障车辆须到供应商指定或认可的维修厂维修，采购人不能自行维修或自行选择维修厂维修。供应商应及时提供替代车辆给采购人使用，或承担采购人在紧急情况下自行转其它交通工具的费用。如因不能及时提供造成采购人的损失，供应商应承担赔偿责任。</w:t>
            </w:r>
          </w:p>
          <w:p w14:paraId="78B7EF4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3.供应商对每一租赁车辆只提供一套钥匙给采购人，如钥匙遗失，采购人应承担整个车锁系统（包括车门锁、点火开关、旅行箱盖锁）的更换费用。</w:t>
            </w:r>
          </w:p>
          <w:p w14:paraId="67DBB6BD">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left"/>
              <w:textAlignment w:val="auto"/>
              <w:outlineLvl w:val="9"/>
              <w:rPr>
                <w:rFonts w:hint="eastAsia" w:ascii="宋体" w:hAnsi="宋体" w:eastAsia="宋体" w:cs="宋体"/>
                <w:color w:val="000000"/>
                <w:sz w:val="21"/>
                <w:szCs w:val="21"/>
                <w:highlight w:val="none"/>
                <w:lang w:val="en-US" w:eastAsia="zh-CN"/>
              </w:rPr>
            </w:pPr>
            <w:r>
              <w:rPr>
                <w:rFonts w:hint="eastAsia" w:ascii="宋体" w:hAnsi="宋体" w:eastAsia="宋体" w:cs="宋体"/>
                <w:b/>
                <w:bCs/>
                <w:color w:val="000000"/>
                <w:sz w:val="21"/>
                <w:szCs w:val="21"/>
                <w:highlight w:val="none"/>
                <w:lang w:val="en-US" w:eastAsia="zh-CN"/>
              </w:rPr>
              <w:t>（五）考核标准</w:t>
            </w:r>
          </w:p>
          <w:p w14:paraId="05C9031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1.成交供应商要严格执行考核标准，落实责任。</w:t>
            </w:r>
          </w:p>
          <w:p w14:paraId="6FE65F1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采购人与成交供应商双方成立联络小组，每个月按考核标准对成交供应商工作情况进行打分考核，对于当月考核分低于80分的，应对成交供应商进行情况通报，对连续2个月低于80分的项目要扣除相应的物业管理费(相应岗位人员解聘，并扣除当月工资的10%),一年超过3次低于80 分的情况，采购人则有权解除合同。</w:t>
            </w:r>
          </w:p>
          <w:p w14:paraId="6CFCFC8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200"/>
              <w:textAlignment w:val="auto"/>
              <w:outlineLvl w:val="9"/>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（六）付款方式</w:t>
            </w:r>
          </w:p>
          <w:p w14:paraId="677CF32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租车费用按季度结算，供应商每月 10 日前向采购人交付上一季度结算单，结算单内容包括采购人租赁车辆详细信息、租金、行程产生的垫付油费、路桥费、停车费、食宿费及垫付费用部分的税费（按业务适用税率加收），并向采购人开具等额有效的发票，采购人收到后于当月 25 日前向供应商支付上季度费用总金额。采购人逾期十天未付的，需按日加付千分之三的滞纳金。</w:t>
            </w:r>
          </w:p>
          <w:p w14:paraId="44810409">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422" w:firstLineChars="200"/>
              <w:textAlignment w:val="auto"/>
              <w:outlineLvl w:val="9"/>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特别约定</w:t>
            </w:r>
          </w:p>
          <w:p w14:paraId="254C974F">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采购人在租赁期间发生交通违法行为的，应自供应商通知之日起15天内完成交通违法行为的处理。如逾期处理且经供应商催告后仍未处理的，供应商有权要求采购人支付交通违法行为车辆当月租金的15%作为违约金；如因采购人未及时处理导致供应商车辆受到停运损失的，供应商有权要求采购人赔偿损失，直至该交通违法行为处理完毕为止。</w:t>
            </w:r>
          </w:p>
          <w:p w14:paraId="6B67823B">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采购人在租赁期间造成车辆受损的，保险公司定损金额5000元以上的（含累计损失）或造成重要零部件损坏的，虽经修复但仍需向供应商支付保险公司定损总额的20%赔偿金作为车辆的贬值损失及次年车辆保险增加部分。</w:t>
            </w:r>
          </w:p>
          <w:p w14:paraId="6944AEA8">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val="0"/>
                <w:bCs w:val="0"/>
                <w:kern w:val="2"/>
                <w:sz w:val="21"/>
                <w:szCs w:val="21"/>
                <w:highlight w:val="none"/>
                <w:lang w:val="en-US" w:eastAsia="zh-CN" w:bidi="ar-SA"/>
              </w:rPr>
              <w:t>3.如需办理保险赔付，赔付金额需为2000元或以上方可向保险公司报案，同时配合完成理赔流程；赔付金额为2000元以内需由供应商自行负责。</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60FB1">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完全响应</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E780F">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是</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EC9B2">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D9421">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宋体" w:hAnsi="宋体" w:eastAsia="宋体" w:cs="宋体"/>
                <w:b/>
                <w:bCs/>
                <w:i w:val="0"/>
                <w:iCs w:val="0"/>
                <w:color w:val="000000"/>
                <w:kern w:val="0"/>
                <w:sz w:val="21"/>
                <w:szCs w:val="21"/>
                <w:u w:val="none"/>
                <w:lang w:val="en-US" w:eastAsia="zh-CN" w:bidi="ar"/>
              </w:rPr>
            </w:pP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E6525">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宋体" w:hAnsi="宋体" w:eastAsia="宋体" w:cs="宋体"/>
                <w:b/>
                <w:bCs/>
                <w:i w:val="0"/>
                <w:iCs w:val="0"/>
                <w:color w:val="000000"/>
                <w:kern w:val="0"/>
                <w:sz w:val="21"/>
                <w:szCs w:val="21"/>
                <w:u w:val="none"/>
                <w:lang w:val="en-US" w:eastAsia="zh-CN" w:bidi="ar"/>
              </w:rPr>
            </w:pPr>
          </w:p>
        </w:tc>
      </w:tr>
      <w:tr w14:paraId="19141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1283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618D173">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报价(下浮率 %）</w:t>
            </w: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16E78C">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i w:val="0"/>
                <w:iCs w:val="0"/>
                <w:color w:val="000000"/>
                <w:sz w:val="21"/>
                <w:szCs w:val="21"/>
                <w:u w:val="none"/>
              </w:rPr>
            </w:pPr>
          </w:p>
        </w:tc>
      </w:tr>
    </w:tbl>
    <w:p w14:paraId="7696A3CB"/>
    <w:p w14:paraId="7D8709F0">
      <w:pPr>
        <w:pStyle w:val="6"/>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报价单位（公章）：</w:t>
      </w:r>
    </w:p>
    <w:p w14:paraId="1E556C71">
      <w:pPr>
        <w:pStyle w:val="6"/>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报价日期：</w:t>
      </w:r>
    </w:p>
    <w:sectPr>
      <w:footerReference r:id="rId3" w:type="default"/>
      <w:pgSz w:w="16838" w:h="11906" w:orient="landscape"/>
      <w:pgMar w:top="1191" w:right="1191" w:bottom="1020" w:left="1191"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roma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_x000B__x000C_">
    <w:altName w:val="Times New Roman"/>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E8FC2">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705680">
                          <w:pPr>
                            <w:pStyle w:val="2"/>
                          </w:pPr>
                          <w:r>
                            <w:t xml:space="preserve">第 </w:t>
                          </w:r>
                          <w:r>
                            <w:fldChar w:fldCharType="begin"/>
                          </w:r>
                          <w:r>
                            <w:instrText xml:space="preserve"> PAGE  \* MERGEFORMAT </w:instrText>
                          </w:r>
                          <w:r>
                            <w:fldChar w:fldCharType="separate"/>
                          </w:r>
                          <w:r>
                            <w:t>一</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9705680">
                    <w:pPr>
                      <w:pStyle w:val="2"/>
                    </w:pPr>
                    <w:r>
                      <w:t xml:space="preserve">第 </w:t>
                    </w:r>
                    <w:r>
                      <w:fldChar w:fldCharType="begin"/>
                    </w:r>
                    <w:r>
                      <w:instrText xml:space="preserve"> PAGE  \* MERGEFORMAT </w:instrText>
                    </w:r>
                    <w:r>
                      <w:fldChar w:fldCharType="separate"/>
                    </w:r>
                    <w:r>
                      <w:t>一</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BCA515"/>
    <w:multiLevelType w:val="singleLevel"/>
    <w:tmpl w:val="3DBCA51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hYmYyMDVmODQ2MTc2YTQyZTE3ZDE5ODU1MmU1ZTIifQ=="/>
  </w:docVars>
  <w:rsids>
    <w:rsidRoot w:val="00000000"/>
    <w:rsid w:val="012604E4"/>
    <w:rsid w:val="01DA5C6C"/>
    <w:rsid w:val="08251EAA"/>
    <w:rsid w:val="0D373C46"/>
    <w:rsid w:val="22035426"/>
    <w:rsid w:val="25A03144"/>
    <w:rsid w:val="308B46F0"/>
    <w:rsid w:val="38BF4BE6"/>
    <w:rsid w:val="4D2E66D8"/>
    <w:rsid w:val="6884728A"/>
    <w:rsid w:val="6CE16E6B"/>
    <w:rsid w:val="6FA431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正文正"/>
    <w:basedOn w:val="7"/>
    <w:qFormat/>
    <w:uiPriority w:val="0"/>
    <w:pPr>
      <w:spacing w:line="560" w:lineRule="exact"/>
      <w:ind w:firstLine="561"/>
    </w:pPr>
    <w:rPr>
      <w:rFonts w:ascii="Calibri" w:hAnsi="Calibri"/>
      <w:sz w:val="28"/>
      <w:szCs w:val="24"/>
    </w:rPr>
  </w:style>
  <w:style w:type="paragraph" w:customStyle="1" w:styleId="7">
    <w:name w:val="正文 New New New New New New New"/>
    <w:next w:val="8"/>
    <w:qFormat/>
    <w:uiPriority w:val="0"/>
    <w:pPr>
      <w:widowControl w:val="0"/>
      <w:autoSpaceDE w:val="0"/>
      <w:autoSpaceDN w:val="0"/>
      <w:adjustRightInd w:val="0"/>
    </w:pPr>
    <w:rPr>
      <w:rFonts w:ascii="宋体" w:hAnsi="Times New Roman" w:eastAsia="宋体" w:cs="Times New Roman"/>
      <w:sz w:val="24"/>
      <w:szCs w:val="24"/>
      <w:lang w:val="en-US" w:eastAsia="zh-CN" w:bidi="ar-SA"/>
    </w:rPr>
  </w:style>
  <w:style w:type="paragraph" w:customStyle="1" w:styleId="8">
    <w:name w:val="正文文本 New"/>
    <w:basedOn w:val="9"/>
    <w:qFormat/>
    <w:uiPriority w:val="0"/>
    <w:pPr>
      <w:widowControl w:val="0"/>
      <w:spacing w:line="360" w:lineRule="auto"/>
      <w:ind w:firstLine="0" w:firstLineChars="0"/>
      <w:jc w:val="both"/>
    </w:pPr>
    <w:rPr>
      <w:rFonts w:ascii="_x000B__x000C_" w:hAnsi="_x000B__x000C_" w:eastAsia="宋体" w:cs="Times New Roman"/>
      <w:kern w:val="2"/>
      <w:sz w:val="24"/>
      <w:szCs w:val="20"/>
      <w:lang w:val="en-US" w:eastAsia="zh-CN" w:bidi="ar-SA"/>
    </w:rPr>
  </w:style>
  <w:style w:type="paragraph" w:customStyle="1" w:styleId="9">
    <w:name w:val="正文 New New New New"/>
    <w:next w:val="8"/>
    <w:qFormat/>
    <w:uiPriority w:val="0"/>
    <w:pPr>
      <w:widowControl w:val="0"/>
      <w:adjustRightInd w:val="0"/>
      <w:spacing w:before="60" w:after="60" w:line="360" w:lineRule="auto"/>
      <w:ind w:firstLine="200" w:firstLineChars="200"/>
      <w:jc w:val="both"/>
      <w:textAlignment w:val="baseline"/>
    </w:pPr>
    <w:rPr>
      <w:rFonts w:ascii="Times New Roman" w:hAnsi="Times New Roman" w:eastAsia="宋体" w:cs="Times New Roman"/>
      <w:sz w:val="21"/>
      <w:lang w:val="en-US" w:eastAsia="zh-CN" w:bidi="ar-SA"/>
    </w:rPr>
  </w:style>
  <w:style w:type="paragraph" w:customStyle="1" w:styleId="10">
    <w:name w:val="UserStyle_43"/>
    <w:basedOn w:val="11"/>
    <w:qFormat/>
    <w:uiPriority w:val="0"/>
    <w:rPr>
      <w:rFonts w:ascii="宋体" w:hAnsi="Courier New"/>
      <w:szCs w:val="21"/>
    </w:rPr>
  </w:style>
  <w:style w:type="paragraph" w:customStyle="1" w:styleId="11">
    <w:name w:val="UserStyle_30"/>
    <w:next w:val="12"/>
    <w:qFormat/>
    <w:uiPriority w:val="0"/>
    <w:pPr>
      <w:jc w:val="both"/>
      <w:textAlignment w:val="baseline"/>
    </w:pPr>
    <w:rPr>
      <w:rFonts w:ascii="Times New Roman" w:hAnsi="Times New Roman" w:eastAsia="宋体" w:cs="Times New Roman"/>
      <w:kern w:val="2"/>
      <w:sz w:val="21"/>
      <w:szCs w:val="24"/>
      <w:lang w:val="en-US" w:eastAsia="zh-CN" w:bidi="ar-SA"/>
    </w:rPr>
  </w:style>
  <w:style w:type="paragraph" w:customStyle="1" w:styleId="12">
    <w:name w:val="UserStyle_20"/>
    <w:basedOn w:val="13"/>
    <w:qFormat/>
    <w:uiPriority w:val="0"/>
    <w:pPr>
      <w:spacing w:line="560" w:lineRule="exact"/>
      <w:ind w:firstLine="561"/>
    </w:pPr>
    <w:rPr>
      <w:rFonts w:eastAsia="仿宋_GB2312"/>
      <w:sz w:val="28"/>
    </w:rPr>
  </w:style>
  <w:style w:type="paragraph" w:customStyle="1" w:styleId="13">
    <w:name w:val="UserStyle_24"/>
    <w:next w:val="12"/>
    <w:qFormat/>
    <w:uiPriority w:val="0"/>
    <w:pPr>
      <w:jc w:val="both"/>
      <w:textAlignment w:val="baseline"/>
    </w:pPr>
    <w:rPr>
      <w:rFonts w:ascii="Times New Roman" w:hAnsi="Times New Roman" w:eastAsia="宋体" w:cs="Times New Roman"/>
      <w:kern w:val="2"/>
      <w:sz w:val="21"/>
      <w:szCs w:val="24"/>
      <w:lang w:val="en-US" w:eastAsia="zh-CN" w:bidi="ar-SA"/>
    </w:rPr>
  </w:style>
  <w:style w:type="character" w:customStyle="1" w:styleId="14">
    <w:name w:val="NormalCharacter"/>
    <w:qFormat/>
    <w:uiPriority w:val="0"/>
  </w:style>
  <w:style w:type="paragraph" w:customStyle="1" w:styleId="15">
    <w:name w:val="179"/>
    <w:basedOn w:val="11"/>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1694</Words>
  <Characters>1792</Characters>
  <Lines>0</Lines>
  <Paragraphs>0</Paragraphs>
  <TotalTime>0</TotalTime>
  <ScaleCrop>false</ScaleCrop>
  <LinksUpToDate>false</LinksUpToDate>
  <CharactersWithSpaces>1928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2025-09-15T10:05:00Z</dcterms:created>
  <dc:creator>123</dc:creator>
  <cp:lastModifiedBy>Daishaoc</cp:lastModifiedBy>
  <dcterms:modified xsi:type="dcterms:W3CDTF">2026-01-29T08:45:16Z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BCCA7EA7B0534042A7A401879EC817F2_12</vt:lpwstr>
  </property>
  <property fmtid="{D5CDD505-2E9C-101B-9397-08002B2CF9AE}" pid="4" name="KSOTemplateDocerSaveRecord">
    <vt:lpwstr>eyJoZGlkIjoiMDFhYmYyMDVmODQ2MTc2YTQyZTE3ZDE5ODU1MmU1ZTIiLCJ1c2VySWQiOiI2NTU3NzExNTAifQ==</vt:lpwstr>
  </property>
</Properties>
</file>