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color w:val="000000"/>
          <w:sz w:val="32"/>
          <w:szCs w:val="32"/>
          <w:lang w:val="en-US" w:eastAsia="zh-CN"/>
        </w:rPr>
      </w:pPr>
      <w:r>
        <w:rPr>
          <w:rFonts w:hint="eastAsia"/>
          <w:b/>
          <w:bCs/>
          <w:color w:val="000000"/>
          <w:sz w:val="32"/>
          <w:szCs w:val="32"/>
          <w:lang w:val="en-US" w:eastAsia="zh-CN"/>
        </w:rPr>
        <w:t>犁市镇典型镇沿江路简易停车场改造提升项目</w:t>
      </w:r>
    </w:p>
    <w:p>
      <w:pPr>
        <w:spacing w:line="240" w:lineRule="auto"/>
        <w:jc w:val="center"/>
        <w:rPr>
          <w:rFonts w:hint="eastAsia"/>
          <w:b/>
          <w:bCs/>
          <w:color w:val="000000"/>
          <w:sz w:val="32"/>
          <w:szCs w:val="32"/>
          <w:lang w:val="en-US" w:eastAsia="zh-CN"/>
        </w:rPr>
      </w:pPr>
      <w:r>
        <w:rPr>
          <w:rFonts w:hint="eastAsia"/>
          <w:b/>
          <w:bCs/>
          <w:color w:val="000000"/>
          <w:sz w:val="32"/>
          <w:szCs w:val="32"/>
          <w:lang w:val="en-US" w:eastAsia="zh-CN"/>
        </w:rPr>
        <w:t>采购需求</w:t>
      </w:r>
    </w:p>
    <w:p>
      <w:pPr>
        <w:numPr>
          <w:ilvl w:val="0"/>
          <w:numId w:val="0"/>
        </w:numPr>
        <w:spacing w:line="360" w:lineRule="auto"/>
        <w:rPr>
          <w:rFonts w:hint="default"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一、</w:t>
      </w:r>
      <w:r>
        <w:rPr>
          <w:rFonts w:hint="eastAsia" w:ascii="宋体" w:hAnsi="宋体" w:eastAsia="宋体" w:cs="宋体"/>
          <w:b/>
          <w:bCs/>
          <w:i w:val="0"/>
          <w:iCs w:val="0"/>
          <w:color w:val="auto"/>
          <w:sz w:val="21"/>
          <w:szCs w:val="21"/>
          <w:highlight w:val="none"/>
        </w:rPr>
        <w:t>采购</w:t>
      </w:r>
      <w:r>
        <w:rPr>
          <w:rFonts w:hint="eastAsia" w:ascii="宋体" w:hAnsi="宋体" w:eastAsia="宋体" w:cs="宋体"/>
          <w:b/>
          <w:bCs/>
          <w:i w:val="0"/>
          <w:iCs w:val="0"/>
          <w:color w:val="auto"/>
          <w:sz w:val="21"/>
          <w:szCs w:val="21"/>
          <w:highlight w:val="none"/>
          <w:lang w:val="en-US" w:eastAsia="zh-CN"/>
        </w:rPr>
        <w:t>项目概况</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7"/>
        <w:gridCol w:w="6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犁市镇典型镇沿江路简易停车场改造提升项目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2024-178-GDHZ-DZX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政府采购品目编码</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A07010336人造石材、石料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自行采购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97"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50,000.00元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韶关市浈江区犁市镇人民政府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广东合正项目管理有限公司</w:t>
            </w:r>
          </w:p>
        </w:tc>
      </w:tr>
    </w:tbl>
    <w:p>
      <w:pPr>
        <w:numPr>
          <w:ilvl w:val="0"/>
          <w:numId w:val="0"/>
        </w:numPr>
        <w:spacing w:line="240" w:lineRule="auto"/>
        <w:rPr>
          <w:rFonts w:hint="eastAsia" w:ascii="宋体" w:hAnsi="宋体" w:eastAsia="宋体" w:cs="宋体"/>
          <w:b w:val="0"/>
          <w:bCs w:val="0"/>
          <w:color w:val="auto"/>
          <w:sz w:val="21"/>
          <w:szCs w:val="21"/>
          <w:lang w:val="en-US" w:eastAsia="zh-CN"/>
        </w:rPr>
      </w:pPr>
    </w:p>
    <w:p>
      <w:pPr>
        <w:numPr>
          <w:ilvl w:val="0"/>
          <w:numId w:val="0"/>
        </w:numPr>
        <w:spacing w:line="240" w:lineRule="auto"/>
        <w:rPr>
          <w:rFonts w:hint="eastAsia" w:ascii="宋体" w:hAnsi="宋体" w:cs="宋体"/>
          <w:b w:val="0"/>
          <w:bCs w:val="0"/>
          <w:color w:val="auto"/>
          <w:kern w:val="2"/>
          <w:sz w:val="21"/>
          <w:szCs w:val="21"/>
          <w:vertAlign w:val="baseline"/>
          <w:lang w:val="en-US" w:eastAsia="zh-CN" w:bidi="ar-SA"/>
        </w:rPr>
      </w:pPr>
    </w:p>
    <w:p>
      <w:pPr>
        <w:spacing w:line="360" w:lineRule="auto"/>
        <w:outlineLvl w:val="1"/>
        <w:rPr>
          <w:rFonts w:hint="eastAsia" w:ascii="宋体" w:hAnsi="宋体" w:eastAsia="宋体" w:cs="宋体"/>
          <w:b/>
          <w:bCs/>
          <w:i w:val="0"/>
          <w:iCs w:val="0"/>
          <w:color w:val="auto"/>
          <w:szCs w:val="21"/>
          <w:highlight w:val="none"/>
        </w:rPr>
      </w:pPr>
      <w:r>
        <w:rPr>
          <w:rFonts w:hint="eastAsia" w:ascii="宋体" w:hAnsi="宋体" w:eastAsia="宋体" w:cs="宋体"/>
          <w:b/>
          <w:bCs/>
          <w:i w:val="0"/>
          <w:iCs w:val="0"/>
          <w:color w:val="auto"/>
          <w:szCs w:val="21"/>
          <w:highlight w:val="none"/>
          <w:lang w:val="en-US" w:eastAsia="zh-CN"/>
        </w:rPr>
        <w:t>二、</w:t>
      </w:r>
      <w:r>
        <w:rPr>
          <w:rFonts w:hint="eastAsia" w:ascii="宋体" w:hAnsi="宋体" w:eastAsia="宋体" w:cs="宋体"/>
          <w:b/>
          <w:bCs/>
          <w:i w:val="0"/>
          <w:iCs w:val="0"/>
          <w:color w:val="auto"/>
          <w:szCs w:val="21"/>
          <w:highlight w:val="none"/>
        </w:rPr>
        <w:t>采购项目内容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（一）项目概况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犁市镇典型镇沿江路简易停车场改造提升占地面积 3600㎡，因路面坑坑洼洼，需铺设碎石进行提升改造。</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color w:val="auto"/>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（二）</w:t>
      </w:r>
      <w:r>
        <w:rPr>
          <w:rFonts w:hint="eastAsia" w:ascii="宋体" w:hAnsi="宋体" w:eastAsia="宋体" w:cs="宋体"/>
          <w:b/>
          <w:bCs/>
          <w:color w:val="auto"/>
          <w:szCs w:val="21"/>
          <w:highlight w:val="none"/>
          <w:lang w:val="en-US" w:eastAsia="zh-CN"/>
        </w:rPr>
        <w:t>采购需求</w:t>
      </w:r>
    </w:p>
    <w:tbl>
      <w:tblPr>
        <w:tblStyle w:val="10"/>
        <w:tblW w:w="4998" w:type="pct"/>
        <w:jc w:val="center"/>
        <w:tblLayout w:type="autofit"/>
        <w:tblCellMar>
          <w:top w:w="0" w:type="dxa"/>
          <w:left w:w="0" w:type="dxa"/>
          <w:bottom w:w="0" w:type="dxa"/>
          <w:right w:w="0" w:type="dxa"/>
        </w:tblCellMar>
      </w:tblPr>
      <w:tblGrid>
        <w:gridCol w:w="684"/>
        <w:gridCol w:w="2320"/>
        <w:gridCol w:w="1232"/>
        <w:gridCol w:w="2388"/>
        <w:gridCol w:w="1709"/>
      </w:tblGrid>
      <w:tr>
        <w:tblPrEx>
          <w:tblCellMar>
            <w:top w:w="0" w:type="dxa"/>
            <w:left w:w="0" w:type="dxa"/>
            <w:bottom w:w="0" w:type="dxa"/>
            <w:right w:w="0" w:type="dxa"/>
          </w:tblCellMar>
        </w:tblPrEx>
        <w:trPr>
          <w:trHeight w:val="605" w:hRule="atLeast"/>
          <w:jc w:val="center"/>
        </w:trPr>
        <w:tc>
          <w:tcPr>
            <w:tcW w:w="4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序号</w:t>
            </w:r>
          </w:p>
        </w:tc>
        <w:tc>
          <w:tcPr>
            <w:tcW w:w="139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采购内容</w:t>
            </w:r>
          </w:p>
        </w:tc>
        <w:tc>
          <w:tcPr>
            <w:tcW w:w="73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数量</w:t>
            </w:r>
          </w:p>
        </w:tc>
        <w:tc>
          <w:tcPr>
            <w:tcW w:w="14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完成期</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预算金额（元）</w:t>
            </w:r>
          </w:p>
        </w:tc>
      </w:tr>
      <w:tr>
        <w:tblPrEx>
          <w:tblCellMar>
            <w:top w:w="0" w:type="dxa"/>
            <w:left w:w="0" w:type="dxa"/>
            <w:bottom w:w="0" w:type="dxa"/>
            <w:right w:w="0" w:type="dxa"/>
          </w:tblCellMar>
        </w:tblPrEx>
        <w:trPr>
          <w:trHeight w:val="889" w:hRule="atLeast"/>
          <w:jc w:val="center"/>
        </w:trPr>
        <w:tc>
          <w:tcPr>
            <w:tcW w:w="4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w:t>
            </w:r>
          </w:p>
        </w:tc>
        <w:tc>
          <w:tcPr>
            <w:tcW w:w="139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default" w:ascii="宋体" w:hAnsi="宋体" w:eastAsia="宋体" w:cs="宋体"/>
                <w:b w:val="0"/>
                <w:bCs w:val="0"/>
                <w:color w:val="auto"/>
                <w:szCs w:val="21"/>
                <w:highlight w:val="none"/>
                <w:lang w:val="en-US" w:eastAsia="zh-CN"/>
              </w:rPr>
              <w:t>犁市镇典型镇沿江路简易停车场改造提升项目</w:t>
            </w:r>
          </w:p>
        </w:tc>
        <w:tc>
          <w:tcPr>
            <w:tcW w:w="73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1项</w:t>
            </w:r>
          </w:p>
        </w:tc>
        <w:tc>
          <w:tcPr>
            <w:tcW w:w="14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自合同签订之日起15个日历天内完成。</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default" w:ascii="宋体" w:hAnsi="宋体" w:eastAsia="宋体" w:cs="宋体"/>
                <w:b w:val="0"/>
                <w:bCs w:val="0"/>
                <w:color w:val="auto"/>
                <w:szCs w:val="21"/>
                <w:highlight w:val="none"/>
                <w:lang w:val="en-US" w:eastAsia="zh-CN"/>
              </w:rPr>
              <w:t>50,000.00</w:t>
            </w:r>
          </w:p>
        </w:tc>
      </w:tr>
    </w:tbl>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注：1、报价超出预算金额的列为无效</w:t>
      </w:r>
      <w:r>
        <w:rPr>
          <w:rFonts w:hint="eastAsia" w:ascii="宋体" w:hAnsi="宋体" w:cs="宋体"/>
          <w:b w:val="0"/>
          <w:bCs w:val="0"/>
          <w:color w:val="auto"/>
          <w:sz w:val="21"/>
          <w:szCs w:val="21"/>
          <w:highlight w:val="none"/>
          <w:u w:val="none"/>
          <w:lang w:eastAsia="zh-CN"/>
        </w:rPr>
        <w:t>响应</w:t>
      </w:r>
      <w:r>
        <w:rPr>
          <w:rFonts w:hint="eastAsia" w:ascii="宋体" w:hAnsi="宋体" w:eastAsia="宋体" w:cs="宋体"/>
          <w:b w:val="0"/>
          <w:bCs w:val="0"/>
          <w:color w:val="auto"/>
          <w:sz w:val="21"/>
          <w:szCs w:val="21"/>
          <w:highlight w:val="none"/>
          <w:u w:val="none"/>
        </w:rPr>
        <w:t>处理。</w:t>
      </w:r>
    </w:p>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2、</w:t>
      </w:r>
      <w:r>
        <w:rPr>
          <w:rFonts w:hint="eastAsia" w:ascii="宋体" w:hAnsi="宋体" w:cs="宋体"/>
          <w:b w:val="0"/>
          <w:bCs w:val="0"/>
          <w:color w:val="auto"/>
          <w:sz w:val="21"/>
          <w:szCs w:val="21"/>
          <w:highlight w:val="none"/>
          <w:u w:val="none"/>
          <w:lang w:eastAsia="zh-CN"/>
        </w:rPr>
        <w:t>供应商</w:t>
      </w:r>
      <w:r>
        <w:rPr>
          <w:rFonts w:hint="eastAsia" w:ascii="宋体" w:hAnsi="宋体" w:eastAsia="宋体" w:cs="宋体"/>
          <w:b w:val="0"/>
          <w:bCs w:val="0"/>
          <w:color w:val="auto"/>
          <w:sz w:val="21"/>
          <w:szCs w:val="21"/>
          <w:highlight w:val="none"/>
          <w:u w:val="none"/>
        </w:rPr>
        <w:t>必须对本项目的全部内容进行报价，如有缺漏，将导致无效</w:t>
      </w:r>
      <w:r>
        <w:rPr>
          <w:rFonts w:hint="eastAsia" w:ascii="宋体" w:hAnsi="宋体" w:cs="宋体"/>
          <w:b w:val="0"/>
          <w:bCs w:val="0"/>
          <w:color w:val="auto"/>
          <w:sz w:val="21"/>
          <w:szCs w:val="21"/>
          <w:highlight w:val="none"/>
          <w:u w:val="none"/>
          <w:lang w:eastAsia="zh-CN"/>
        </w:rPr>
        <w:t>响应</w:t>
      </w:r>
      <w:r>
        <w:rPr>
          <w:rFonts w:hint="eastAsia" w:ascii="宋体" w:hAnsi="宋体" w:eastAsia="宋体" w:cs="宋体"/>
          <w:b w:val="0"/>
          <w:bCs w:val="0"/>
          <w:color w:val="auto"/>
          <w:sz w:val="21"/>
          <w:szCs w:val="21"/>
          <w:highlight w:val="none"/>
          <w:u w:val="none"/>
        </w:rPr>
        <w:t>。</w:t>
      </w:r>
    </w:p>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val="0"/>
          <w:bCs w:val="0"/>
          <w:color w:val="auto"/>
          <w:sz w:val="21"/>
          <w:szCs w:val="21"/>
          <w:highlight w:val="none"/>
          <w:u w:val="none"/>
        </w:rPr>
        <w:t>3、报价应为人民币含税全包价，包括</w:t>
      </w:r>
      <w:r>
        <w:rPr>
          <w:rFonts w:hint="eastAsia" w:ascii="宋体" w:hAnsi="宋体" w:eastAsia="宋体" w:cs="宋体"/>
          <w:b w:val="0"/>
          <w:bCs w:val="0"/>
          <w:color w:val="auto"/>
          <w:sz w:val="21"/>
          <w:szCs w:val="21"/>
          <w:highlight w:val="none"/>
          <w:u w:val="none"/>
          <w:lang w:val="en-US" w:eastAsia="zh-CN"/>
        </w:rPr>
        <w:t>供货、</w:t>
      </w:r>
      <w:r>
        <w:rPr>
          <w:rFonts w:hint="eastAsia" w:ascii="宋体" w:hAnsi="宋体" w:eastAsia="宋体" w:cs="宋体"/>
          <w:b w:val="0"/>
          <w:bCs w:val="0"/>
          <w:color w:val="auto"/>
          <w:sz w:val="21"/>
          <w:szCs w:val="21"/>
          <w:highlight w:val="none"/>
          <w:u w:val="none"/>
        </w:rPr>
        <w:t>运输、</w:t>
      </w:r>
      <w:r>
        <w:rPr>
          <w:rFonts w:hint="eastAsia" w:ascii="宋体" w:hAnsi="宋体" w:eastAsia="宋体" w:cs="宋体"/>
          <w:b w:val="0"/>
          <w:bCs w:val="0"/>
          <w:color w:val="auto"/>
          <w:sz w:val="21"/>
          <w:szCs w:val="21"/>
          <w:highlight w:val="none"/>
          <w:u w:val="none"/>
          <w:lang w:val="en-US" w:eastAsia="zh-CN"/>
        </w:rPr>
        <w:t>人工铺设</w:t>
      </w:r>
      <w:r>
        <w:rPr>
          <w:rFonts w:hint="eastAsia" w:ascii="宋体" w:hAnsi="宋体" w:eastAsia="宋体" w:cs="宋体"/>
          <w:b w:val="0"/>
          <w:bCs w:val="0"/>
          <w:color w:val="auto"/>
          <w:sz w:val="21"/>
          <w:szCs w:val="21"/>
          <w:highlight w:val="none"/>
          <w:u w:val="none"/>
        </w:rPr>
        <w:t>、验收等一切费用。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kern w:val="2"/>
          <w:sz w:val="21"/>
          <w:szCs w:val="21"/>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cs="宋体"/>
          <w:b/>
          <w:bCs/>
          <w:color w:val="auto"/>
          <w:szCs w:val="21"/>
          <w:highlight w:val="none"/>
          <w:lang w:val="en-US" w:eastAsia="zh-CN"/>
        </w:rPr>
      </w:pPr>
      <w:r>
        <w:rPr>
          <w:rFonts w:hint="eastAsia" w:ascii="宋体" w:hAnsi="宋体" w:eastAsia="宋体" w:cs="宋体"/>
          <w:b/>
          <w:bCs/>
          <w:color w:val="auto"/>
          <w:kern w:val="2"/>
          <w:sz w:val="21"/>
          <w:szCs w:val="21"/>
          <w:lang w:val="en-US" w:eastAsia="zh-CN" w:bidi="ar-SA"/>
        </w:rPr>
        <w:t>（三）</w:t>
      </w:r>
      <w:r>
        <w:rPr>
          <w:rFonts w:hint="eastAsia" w:ascii="宋体" w:hAnsi="宋体" w:cs="宋体"/>
          <w:b/>
          <w:bCs/>
          <w:color w:val="auto"/>
          <w:szCs w:val="21"/>
          <w:highlight w:val="none"/>
          <w:lang w:val="en-US" w:eastAsia="zh-CN"/>
        </w:rPr>
        <w:t>采购项目需求汇总表及详细技术参数</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1654"/>
        <w:gridCol w:w="1824"/>
        <w:gridCol w:w="1514"/>
        <w:gridCol w:w="1367"/>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33"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序号</w:t>
            </w:r>
          </w:p>
        </w:tc>
        <w:tc>
          <w:tcPr>
            <w:tcW w:w="970"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产品名称</w:t>
            </w:r>
          </w:p>
        </w:tc>
        <w:tc>
          <w:tcPr>
            <w:tcW w:w="1070"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规格</w:t>
            </w:r>
          </w:p>
        </w:tc>
        <w:tc>
          <w:tcPr>
            <w:tcW w:w="88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单位</w:t>
            </w:r>
          </w:p>
        </w:tc>
        <w:tc>
          <w:tcPr>
            <w:tcW w:w="802"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数量</w:t>
            </w:r>
          </w:p>
        </w:tc>
        <w:tc>
          <w:tcPr>
            <w:tcW w:w="63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633"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default" w:ascii="宋体" w:hAnsi="宋体" w:eastAsia="宋体" w:cs="宋体"/>
                <w:i w:val="0"/>
                <w:iCs w:val="0"/>
                <w:color w:val="auto"/>
                <w:sz w:val="21"/>
                <w:szCs w:val="21"/>
                <w:highlight w:val="none"/>
                <w:lang w:val="en-US" w:eastAsia="zh-CN"/>
              </w:rPr>
              <w:t>1</w:t>
            </w:r>
          </w:p>
        </w:tc>
        <w:tc>
          <w:tcPr>
            <w:tcW w:w="970"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碎石</w:t>
            </w:r>
          </w:p>
        </w:tc>
        <w:tc>
          <w:tcPr>
            <w:tcW w:w="1070"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2*4石子</w:t>
            </w:r>
          </w:p>
        </w:tc>
        <w:tc>
          <w:tcPr>
            <w:tcW w:w="88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m³</w:t>
            </w:r>
          </w:p>
        </w:tc>
        <w:tc>
          <w:tcPr>
            <w:tcW w:w="802"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442.74</w:t>
            </w:r>
          </w:p>
        </w:tc>
        <w:tc>
          <w:tcPr>
            <w:tcW w:w="63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三、商务条款</w:t>
      </w:r>
    </w:p>
    <w:p>
      <w:pPr>
        <w:widowControl/>
        <w:spacing w:line="360" w:lineRule="auto"/>
        <w:jc w:val="left"/>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（一）项目现场管理机构</w:t>
      </w:r>
    </w:p>
    <w:p>
      <w:pPr>
        <w:pStyle w:val="1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1.成交供应商须建立现场管理机构，严格执行现行建设工程项目管理规范，并积极主动接受建设行政主管部门的监督和检查。 </w:t>
      </w:r>
    </w:p>
    <w:p>
      <w:pPr>
        <w:pStyle w:val="1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2.现场管理机构各部主要组织管理人员在开工前须全部到位，并接受相关单位的查验。成交供应商委派的现场管理机构各部主要组织管理人员不得有兼职情况存在，并需接受相关的监督。 </w:t>
      </w:r>
    </w:p>
    <w:p>
      <w:pPr>
        <w:pStyle w:val="1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3.合同签订后，项目负责人、项目班子主要成员不到位，当成交供应商违约。施工中班子主要成员离开工地应向管理单位请假，经批准后才能离开，擅自离开工地，也当成交供应商违约 ，因人员不到位或没在现场的违约处理按每天合同价1‰向采购人支付违约金，若累计超过10天的，采购人有权解除合同。 </w:t>
      </w:r>
    </w:p>
    <w:p>
      <w:pPr>
        <w:spacing w:line="360" w:lineRule="auto"/>
        <w:rPr>
          <w:rFonts w:hint="eastAsia" w:ascii="宋体" w:hAnsi="宋体" w:eastAsia="宋体" w:cs="宋体"/>
          <w:b/>
          <w:bCs/>
          <w:color w:val="auto"/>
          <w:kern w:val="0"/>
          <w:sz w:val="21"/>
          <w:szCs w:val="21"/>
          <w:highlight w:val="none"/>
          <w:lang w:val="en-US" w:eastAsia="zh-CN" w:bidi="ar"/>
        </w:rPr>
      </w:pPr>
    </w:p>
    <w:p>
      <w:pPr>
        <w:spacing w:line="360" w:lineRule="auto"/>
        <w:rPr>
          <w:rFonts w:hint="eastAsia" w:ascii="宋体" w:hAnsi="宋体" w:eastAsia="宋体" w:cs="宋体"/>
          <w:b/>
          <w:bCs/>
          <w:kern w:val="0"/>
          <w:szCs w:val="21"/>
          <w:lang w:eastAsia="zh-CN" w:bidi="ar"/>
        </w:rPr>
      </w:pPr>
      <w:r>
        <w:rPr>
          <w:rFonts w:hint="eastAsia" w:ascii="宋体" w:hAnsi="宋体" w:eastAsia="宋体" w:cs="宋体"/>
          <w:b/>
          <w:bCs/>
          <w:color w:val="auto"/>
          <w:kern w:val="0"/>
          <w:sz w:val="21"/>
          <w:szCs w:val="21"/>
          <w:highlight w:val="none"/>
          <w:lang w:val="en-US" w:eastAsia="zh-CN" w:bidi="ar"/>
        </w:rPr>
        <w:t>（二）质量要求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1.质量达到合格或以上。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2.本工程所有的设备和材料所涉及的设计标准、规范，产品标准、规范，工程标准、规范， 验收标准、规范等必须完全符合中华人民共和国及省、市相应的标准和规范。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3.工程竣工验收由采购人组织进行，验收合格后双方签署验收合格证书，工程交付采购人使用。 </w:t>
      </w:r>
    </w:p>
    <w:p>
      <w:pPr>
        <w:widowControl/>
        <w:spacing w:line="360" w:lineRule="auto"/>
        <w:jc w:val="left"/>
        <w:rPr>
          <w:rFonts w:hint="eastAsia" w:ascii="宋体" w:hAnsi="宋体" w:eastAsia="宋体" w:cs="宋体"/>
          <w:b/>
          <w:bCs/>
          <w:kern w:val="0"/>
          <w:szCs w:val="21"/>
          <w:lang w:eastAsia="zh-CN" w:bidi="ar"/>
        </w:rPr>
      </w:pPr>
    </w:p>
    <w:p>
      <w:pPr>
        <w:widowControl/>
        <w:spacing w:line="360" w:lineRule="auto"/>
        <w:jc w:val="left"/>
        <w:rPr>
          <w:rFonts w:hint="eastAsia" w:ascii="宋体" w:hAnsi="宋体" w:eastAsia="宋体" w:cs="宋体"/>
          <w:b/>
          <w:bCs/>
          <w:kern w:val="0"/>
          <w:szCs w:val="21"/>
          <w:lang w:eastAsia="zh-CN" w:bidi="ar"/>
        </w:rPr>
      </w:pP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三</w:t>
      </w:r>
      <w:r>
        <w:rPr>
          <w:rFonts w:hint="eastAsia" w:ascii="宋体" w:hAnsi="宋体" w:eastAsia="宋体" w:cs="宋体"/>
          <w:b/>
          <w:bCs/>
          <w:kern w:val="0"/>
          <w:szCs w:val="21"/>
          <w:lang w:eastAsia="zh-CN" w:bidi="ar"/>
        </w:rPr>
        <w:t>）质量保证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1.本采购项目缺陷责任期为1年（自通过竣工验收之日起计）。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缺陷责任期内，由成交供应商原因造成的缺陷，成交供应商应当在接到通知之日起7天内派人维修，并承担鉴定及维修费用。如果成交供应商不维修也不承担费用，采购人可以委托他人修理，产生费用可按合同约定从尾款中扣除，维修费用超出尾款金额的，采购人可按合同约定向成交供应商进行索赔。成交供应商维修并承担相应费用后，不免除对工程的损失赔偿责任。由他人原因造成的缺陷，采购人负责组织维修，成交供应商不承担费用，且采购人不得从尾款中扣除费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3.发生紧急抢修事故的，成交供应商在接到事故通知后，应当立即到达事故现场抢修。</w:t>
      </w:r>
    </w:p>
    <w:p>
      <w:pPr>
        <w:pStyle w:val="2"/>
        <w:spacing w:line="360" w:lineRule="auto"/>
        <w:rPr>
          <w:rFonts w:hint="eastAsia" w:ascii="宋体" w:hAnsi="宋体" w:eastAsia="宋体" w:cs="宋体"/>
          <w:b/>
          <w:bCs w:val="0"/>
          <w:kern w:val="0"/>
          <w:szCs w:val="21"/>
          <w:lang w:eastAsia="zh-CN" w:bidi="ar"/>
        </w:rPr>
      </w:pPr>
      <w:r>
        <w:rPr>
          <w:rFonts w:hint="eastAsia" w:ascii="宋体" w:hAnsi="宋体" w:eastAsia="宋体" w:cs="宋体"/>
          <w:b/>
          <w:bCs w:val="0"/>
          <w:color w:val="auto"/>
          <w:kern w:val="0"/>
          <w:sz w:val="21"/>
          <w:szCs w:val="21"/>
          <w:highlight w:val="none"/>
          <w:lang w:val="en-US" w:eastAsia="zh-CN" w:bidi="ar"/>
        </w:rPr>
        <w:t>（四）安全文明施工要求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1.成交供应商必须遵守国家安全生产法律法规和有关规程规范。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2.成交供应商应设有专职安监人员，对项目施工过程中落实安全措施，预防事故发生。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3.成交供应商应按采购人要求提供项目施工安全资料。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4.成交供应商应在施工范围装设临时围栏或警告标志，不得超越指定的施工范围进行施工，禁止无关人员进入施工现场。未经采购人同意，成交供应商不得擅自使用与施工无关的采购人设施设备；不得擅自拆除、变更采购人防护设施及标示。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5.现场施工临时用水、临时用电接口及围蔽工程由成交供应商自行解决。发生临时用水、用电设施的安全和维护及围蔽工程的纠纷均由成交供应商负责，所发生的费用均由成交供应商承担。</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6.成交供应商在施工过程中应确保安全文明施工，做到人离场清。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7.成交供应商必须接受采购人的监督、检查，对采购人提出的安全整改意见必须及时整改。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8.成交供应商必须按照采购人对外来人员的管理要求，配合做好出入管理工作。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kern w:val="2"/>
          <w:sz w:val="21"/>
          <w:szCs w:val="21"/>
          <w:lang w:val="en-US" w:eastAsia="zh-CN" w:bidi="ar-SA"/>
        </w:rPr>
        <w:t xml:space="preserve">9.成交供应商在施工期间应严格遵守国家、省市相关文明施工、深夜施工、环保和城管等规定，建立规章制度和防护措施。 </w:t>
      </w:r>
    </w:p>
    <w:p>
      <w:pPr>
        <w:widowControl/>
        <w:spacing w:line="360" w:lineRule="auto"/>
        <w:jc w:val="left"/>
        <w:rPr>
          <w:rFonts w:hint="eastAsia" w:ascii="宋体" w:hAnsi="宋体" w:eastAsia="宋体" w:cs="宋体"/>
          <w:b/>
          <w:bCs/>
          <w:kern w:val="0"/>
          <w:szCs w:val="21"/>
          <w:lang w:bidi="ar"/>
        </w:rPr>
      </w:pPr>
    </w:p>
    <w:p>
      <w:pPr>
        <w:widowControl/>
        <w:spacing w:line="360" w:lineRule="auto"/>
        <w:jc w:val="left"/>
        <w:rPr>
          <w:rFonts w:hint="eastAsia" w:ascii="宋体" w:hAnsi="宋体" w:eastAsia="宋体" w:cs="宋体"/>
          <w:b/>
          <w:bCs/>
          <w:szCs w:val="21"/>
        </w:rPr>
      </w:pPr>
      <w:r>
        <w:rPr>
          <w:rFonts w:hint="eastAsia" w:ascii="宋体" w:hAnsi="宋体" w:eastAsia="宋体" w:cs="宋体"/>
          <w:b/>
          <w:bCs/>
          <w:kern w:val="0"/>
          <w:szCs w:val="21"/>
          <w:lang w:bidi="ar"/>
        </w:rPr>
        <w:t>（</w:t>
      </w:r>
      <w:r>
        <w:rPr>
          <w:rFonts w:hint="eastAsia" w:ascii="宋体" w:hAnsi="宋体" w:eastAsia="宋体" w:cs="宋体"/>
          <w:b/>
          <w:bCs/>
          <w:kern w:val="0"/>
          <w:szCs w:val="21"/>
          <w:lang w:val="en-US" w:eastAsia="zh-CN" w:bidi="ar"/>
        </w:rPr>
        <w:t>五</w:t>
      </w:r>
      <w:r>
        <w:rPr>
          <w:rFonts w:hint="eastAsia" w:ascii="宋体" w:hAnsi="宋体" w:eastAsia="宋体" w:cs="宋体"/>
          <w:b/>
          <w:bCs/>
          <w:kern w:val="0"/>
          <w:szCs w:val="21"/>
          <w:lang w:bidi="ar"/>
        </w:rPr>
        <w:t>）验收要求</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Cs w:val="21"/>
        </w:rPr>
      </w:pPr>
      <w:r>
        <w:rPr>
          <w:rFonts w:hint="eastAsia" w:ascii="宋体" w:hAnsi="宋体" w:eastAsia="宋体" w:cs="宋体"/>
          <w:kern w:val="0"/>
          <w:szCs w:val="21"/>
          <w:lang w:bidi="ar"/>
        </w:rPr>
        <w:t>申请竣工验收条件</w:t>
      </w:r>
    </w:p>
    <w:p>
      <w:pPr>
        <w:pStyle w:val="9"/>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合同范围内的全部工程以及有关工作，包括合同要求的检验和验收均已完成，并符合合同要求； </w:t>
      </w:r>
    </w:p>
    <w:p>
      <w:pPr>
        <w:pStyle w:val="9"/>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已按合同约定的内容和份数备齐了符合要求的竣工资料； </w:t>
      </w:r>
    </w:p>
    <w:p>
      <w:pPr>
        <w:pStyle w:val="9"/>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采购人要求在竣工验收前完成的其他工作； </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kern w:val="0"/>
          <w:szCs w:val="21"/>
          <w:lang w:bidi="ar"/>
        </w:rPr>
      </w:pPr>
      <w:r>
        <w:rPr>
          <w:rFonts w:hint="eastAsia" w:ascii="宋体" w:hAnsi="宋体" w:eastAsia="宋体" w:cs="宋体"/>
          <w:kern w:val="0"/>
          <w:szCs w:val="21"/>
          <w:lang w:bidi="ar"/>
        </w:rPr>
        <w:t>竣工验收程序</w:t>
      </w:r>
    </w:p>
    <w:p>
      <w:pPr>
        <w:pStyle w:val="9"/>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成交供应商向采购人报送竣工验收申请报告。采购人审查后认为尚不具备验收条件的，应在收到竣工验收申请报告后的5天内通知成交供应商，告知成交供应商还需进行的工作内容。成交供应商完成采购人通知的全部工作内容后，应再次提交竣工验收申请报告，直至采购人同意为止。 </w:t>
      </w:r>
    </w:p>
    <w:p>
      <w:pPr>
        <w:pStyle w:val="9"/>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采购人审查后认为已具备竣工验收条件的，应在5天内进行工程验收。 </w:t>
      </w:r>
    </w:p>
    <w:p>
      <w:pPr>
        <w:widowControl/>
        <w:spacing w:line="360" w:lineRule="auto"/>
        <w:jc w:val="left"/>
        <w:rPr>
          <w:rFonts w:hint="eastAsia" w:ascii="宋体" w:hAnsi="宋体" w:eastAsia="宋体" w:cs="宋体"/>
          <w:b/>
          <w:bCs/>
          <w:kern w:val="0"/>
          <w:szCs w:val="21"/>
          <w:lang w:bidi="ar"/>
        </w:rPr>
      </w:pPr>
    </w:p>
    <w:p>
      <w:pPr>
        <w:widowControl/>
        <w:spacing w:line="360" w:lineRule="auto"/>
        <w:jc w:val="left"/>
        <w:rPr>
          <w:rFonts w:hint="eastAsia" w:ascii="宋体" w:hAnsi="宋体" w:eastAsia="宋体" w:cs="宋体"/>
          <w:b/>
          <w:bCs/>
          <w:color w:val="auto"/>
          <w:sz w:val="21"/>
          <w:szCs w:val="21"/>
          <w:lang w:val="en-US" w:eastAsia="zh-CN"/>
        </w:rPr>
      </w:pPr>
      <w:r>
        <w:rPr>
          <w:rFonts w:hint="eastAsia" w:ascii="宋体" w:hAnsi="宋体" w:eastAsia="宋体" w:cs="宋体"/>
          <w:b/>
          <w:bCs/>
          <w:kern w:val="0"/>
          <w:szCs w:val="21"/>
          <w:lang w:bidi="ar"/>
        </w:rPr>
        <w:t>（</w:t>
      </w:r>
      <w:r>
        <w:rPr>
          <w:rFonts w:hint="eastAsia" w:ascii="宋体" w:hAnsi="宋体" w:eastAsia="宋体" w:cs="宋体"/>
          <w:b/>
          <w:bCs/>
          <w:kern w:val="0"/>
          <w:szCs w:val="21"/>
          <w:lang w:val="en-US" w:eastAsia="zh-CN" w:bidi="ar"/>
        </w:rPr>
        <w:t>六</w:t>
      </w:r>
      <w:r>
        <w:rPr>
          <w:rFonts w:hint="eastAsia" w:ascii="宋体" w:hAnsi="宋体" w:eastAsia="宋体" w:cs="宋体"/>
          <w:b/>
          <w:bCs/>
          <w:kern w:val="0"/>
          <w:szCs w:val="21"/>
          <w:lang w:bidi="ar"/>
        </w:rPr>
        <w:t>）付款方式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由采购人按下列程序付款：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成交供应商</w:t>
      </w:r>
      <w:r>
        <w:rPr>
          <w:rFonts w:hint="eastAsia" w:ascii="宋体" w:hAnsi="宋体" w:cs="宋体"/>
          <w:color w:val="auto"/>
          <w:szCs w:val="21"/>
          <w:highlight w:val="none"/>
          <w:lang w:eastAsia="zh-CN"/>
        </w:rPr>
        <w:t>按合同签订时间及按</w:t>
      </w:r>
      <w:r>
        <w:rPr>
          <w:rFonts w:hint="eastAsia" w:ascii="宋体" w:hAnsi="宋体" w:eastAsia="宋体" w:cs="宋体"/>
          <w:color w:val="auto"/>
          <w:szCs w:val="21"/>
          <w:highlight w:val="none"/>
        </w:rPr>
        <w:t>要求</w:t>
      </w:r>
      <w:r>
        <w:rPr>
          <w:rFonts w:hint="eastAsia" w:ascii="宋体" w:hAnsi="宋体" w:cs="宋体"/>
          <w:color w:val="auto"/>
          <w:szCs w:val="21"/>
          <w:highlight w:val="none"/>
          <w:lang w:eastAsia="zh-CN"/>
        </w:rPr>
        <w:t>完成</w:t>
      </w:r>
      <w:r>
        <w:rPr>
          <w:rFonts w:hint="eastAsia" w:ascii="宋体" w:hAnsi="宋体" w:eastAsia="宋体" w:cs="宋体"/>
          <w:color w:val="auto"/>
          <w:szCs w:val="21"/>
          <w:highlight w:val="none"/>
        </w:rPr>
        <w:t>后，采购人</w:t>
      </w:r>
      <w:r>
        <w:rPr>
          <w:rFonts w:hint="eastAsia" w:ascii="宋体" w:hAnsi="宋体" w:cs="宋体"/>
          <w:color w:val="auto"/>
          <w:szCs w:val="21"/>
          <w:highlight w:val="none"/>
          <w:lang w:eastAsia="zh-CN"/>
        </w:rPr>
        <w:t>组织</w:t>
      </w:r>
      <w:r>
        <w:rPr>
          <w:rFonts w:hint="eastAsia" w:ascii="宋体" w:hAnsi="宋体" w:eastAsia="宋体" w:cs="宋体"/>
          <w:color w:val="auto"/>
          <w:szCs w:val="21"/>
          <w:highlight w:val="none"/>
        </w:rPr>
        <w:t>验收，验收合格后成交供应商开具发票，采购人收到发票后30日内向成交供应商支付100%合同款。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成交供应商凭以下有效文件与采购人结算：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（2）成交供应商开具的正式发票；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（3）验收报告（加盖采购人公章）；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（4）成交通知书。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宋体" w:hAnsi="宋体" w:eastAsia="宋体" w:cs="宋体"/>
          <w:b/>
          <w:bCs/>
          <w:color w:val="auto"/>
          <w:sz w:val="21"/>
          <w:szCs w:val="21"/>
          <w:lang w:val="en-US" w:eastAsia="zh-CN"/>
        </w:rPr>
      </w:pP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B57695"/>
    <w:multiLevelType w:val="singleLevel"/>
    <w:tmpl w:val="FAB57695"/>
    <w:lvl w:ilvl="0" w:tentative="0">
      <w:start w:val="1"/>
      <w:numFmt w:val="decimal"/>
      <w:lvlText w:val="%1."/>
      <w:lvlJc w:val="left"/>
      <w:pPr>
        <w:ind w:left="425" w:hanging="425"/>
      </w:pPr>
      <w:rPr>
        <w:rFonts w:hint="default"/>
      </w:rPr>
    </w:lvl>
  </w:abstractNum>
  <w:abstractNum w:abstractNumId="1">
    <w:nsid w:val="19BC1CD0"/>
    <w:multiLevelType w:val="singleLevel"/>
    <w:tmpl w:val="19BC1CD0"/>
    <w:lvl w:ilvl="0" w:tentative="0">
      <w:start w:val="1"/>
      <w:numFmt w:val="decimal"/>
      <w:lvlText w:val="(%1)"/>
      <w:lvlJc w:val="left"/>
      <w:pPr>
        <w:ind w:left="425" w:hanging="425"/>
      </w:pPr>
      <w:rPr>
        <w:rFonts w:hint="default"/>
      </w:rPr>
    </w:lvl>
  </w:abstractNum>
  <w:abstractNum w:abstractNumId="2">
    <w:nsid w:val="5A3051C1"/>
    <w:multiLevelType w:val="singleLevel"/>
    <w:tmpl w:val="5A3051C1"/>
    <w:lvl w:ilvl="0" w:tentative="0">
      <w:start w:val="1"/>
      <w:numFmt w:val="decimal"/>
      <w:lvlText w:val="(%1)"/>
      <w:lvlJc w:val="left"/>
      <w:pPr>
        <w:ind w:left="425" w:hanging="425"/>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276A6F9F"/>
    <w:rsid w:val="276A6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outlineLvl w:val="3"/>
    </w:pPr>
    <w:rPr>
      <w:rFonts w:ascii="Arial" w:hAnsi="Arial" w:eastAsia="黑体"/>
      <w:bCs/>
      <w:kern w:val="0"/>
      <w:sz w:val="24"/>
      <w:szCs w:val="28"/>
    </w:rPr>
  </w:style>
  <w:style w:type="character" w:default="1" w:styleId="12">
    <w:name w:val="Default Paragraph Font"/>
    <w:autoRedefine/>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jc w:val="center"/>
    </w:pPr>
    <w:rPr>
      <w:rFonts w:ascii="黑体" w:eastAsia="黑体"/>
      <w:sz w:val="64"/>
    </w:rPr>
  </w:style>
  <w:style w:type="paragraph" w:styleId="4">
    <w:name w:val="Body Text Indent"/>
    <w:basedOn w:val="1"/>
    <w:next w:val="5"/>
    <w:qFormat/>
    <w:uiPriority w:val="0"/>
    <w:pPr>
      <w:spacing w:line="360" w:lineRule="auto"/>
      <w:ind w:left="425" w:firstLine="518" w:firstLineChars="216"/>
    </w:pPr>
    <w:rPr>
      <w:rFonts w:ascii="楷体_GB2312" w:eastAsia="楷体_GB2312"/>
      <w:sz w:val="24"/>
    </w:rPr>
  </w:style>
  <w:style w:type="paragraph" w:styleId="5">
    <w:name w:val="envelope return"/>
    <w:basedOn w:val="1"/>
    <w:qFormat/>
    <w:uiPriority w:val="0"/>
    <w:pPr>
      <w:snapToGrid w:val="0"/>
    </w:pPr>
    <w:rPr>
      <w:rFonts w:ascii="Arial" w:hAnsi="Arial" w:eastAsia="宋体" w:cs="Times New Roman"/>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3"/>
    <w:qFormat/>
    <w:uiPriority w:val="0"/>
    <w:pPr>
      <w:widowControl w:val="0"/>
      <w:adjustRightInd w:val="0"/>
      <w:snapToGrid w:val="0"/>
      <w:spacing w:before="40" w:beforeLines="0" w:after="40" w:afterLines="0"/>
      <w:ind w:firstLine="200" w:firstLineChars="200"/>
      <w:jc w:val="both"/>
    </w:pPr>
    <w:rPr>
      <w:kern w:val="2"/>
      <w:sz w:val="24"/>
    </w:rPr>
  </w:style>
  <w:style w:type="paragraph" w:styleId="9">
    <w:name w:val="Body Text First Indent 2"/>
    <w:basedOn w:val="4"/>
    <w:next w:val="8"/>
    <w:unhideWhenUsed/>
    <w:qFormat/>
    <w:uiPriority w:val="99"/>
    <w:pPr>
      <w:ind w:firstLine="420" w:firstLineChars="200"/>
    </w:p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正"/>
    <w:basedOn w:val="14"/>
    <w:qFormat/>
    <w:uiPriority w:val="0"/>
    <w:pPr>
      <w:spacing w:line="560" w:lineRule="exact"/>
      <w:ind w:firstLine="561"/>
    </w:pPr>
    <w:rPr>
      <w:rFonts w:ascii="Calibri" w:hAnsi="Calibri"/>
      <w:sz w:val="28"/>
      <w:szCs w:val="24"/>
    </w:rPr>
  </w:style>
  <w:style w:type="paragraph" w:customStyle="1" w:styleId="14">
    <w:name w:val="正文 New New New New New New New"/>
    <w:autoRedefine/>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2024-04-26T08:53:00Z</dcterms:created>
  <dc:creator>罗华秋</dc:creator>
  <cp:lastModifiedBy>罗华秋</cp:lastModifiedBy>
  <dcterms:modified xsi:type="dcterms:W3CDTF">2024-04-26T08:56:01Z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B3CB2F63D7DC4DC9B9A5B5A67DF48CB1_11</vt:lpwstr>
  </property>
</Properties>
</file>