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电子询价项目名称：广东省人工影响天气水资源保障工程项目-火箭发射装置升级更新项目（韶关市新丰县气象局）</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电子询价项目编号：2026-093-GDHZ-DZX                                                         预算金额：¥114,000.00</w:t>
      </w:r>
    </w:p>
    <w:tbl>
      <w:tblPr>
        <w:tblStyle w:val="6"/>
        <w:tblW w:w="146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
        <w:gridCol w:w="1155"/>
        <w:gridCol w:w="8960"/>
        <w:gridCol w:w="1142"/>
        <w:gridCol w:w="717"/>
        <w:gridCol w:w="500"/>
        <w:gridCol w:w="1100"/>
        <w:gridCol w:w="46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8"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广东省人工影响天气水资源保障工程项目-火箭发射装置升级更新项目（韶关市新丰县气象局）</w:t>
            </w:r>
          </w:p>
        </w:tc>
        <w:tc>
          <w:tcPr>
            <w:tcW w:w="8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FF8F3">
            <w:pPr>
              <w:keepNext w:val="0"/>
              <w:keepLines w:val="0"/>
              <w:pageBreakBefore w:val="0"/>
              <w:numPr>
                <w:ilvl w:val="0"/>
                <w:numId w:val="0"/>
              </w:numPr>
              <w:kinsoku/>
              <w:wordWrap/>
              <w:overflowPunct/>
              <w:topLinePunct w:val="0"/>
              <w:autoSpaceDE/>
              <w:autoSpaceDN/>
              <w:bidi w:val="0"/>
              <w:snapToGrid/>
              <w:spacing w:line="360" w:lineRule="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采购需求一览表</w:t>
            </w:r>
          </w:p>
          <w:tbl>
            <w:tblPr>
              <w:tblStyle w:val="6"/>
              <w:tblW w:w="5046" w:type="pct"/>
              <w:jc w:val="center"/>
              <w:tblLayout w:type="fixed"/>
              <w:tblCellMar>
                <w:top w:w="0" w:type="dxa"/>
                <w:left w:w="0" w:type="dxa"/>
                <w:bottom w:w="0" w:type="dxa"/>
                <w:right w:w="0" w:type="dxa"/>
              </w:tblCellMar>
            </w:tblPr>
            <w:tblGrid>
              <w:gridCol w:w="535"/>
              <w:gridCol w:w="2428"/>
              <w:gridCol w:w="724"/>
              <w:gridCol w:w="1746"/>
              <w:gridCol w:w="1730"/>
              <w:gridCol w:w="1661"/>
            </w:tblGrid>
            <w:tr w14:paraId="5CF64F3F">
              <w:trPr>
                <w:trHeight w:val="821"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79A1231">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37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CEB0324">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采购内容</w:t>
                  </w:r>
                </w:p>
              </w:tc>
              <w:tc>
                <w:tcPr>
                  <w:tcW w:w="4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8EB344A">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98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81FC18F">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9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E692D05">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合同履约期限</w:t>
                  </w:r>
                </w:p>
              </w:tc>
              <w:tc>
                <w:tcPr>
                  <w:tcW w:w="94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4F1BB05">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5B3F109B">
              <w:tblPrEx>
                <w:tblCellMar>
                  <w:top w:w="0" w:type="dxa"/>
                  <w:left w:w="0" w:type="dxa"/>
                  <w:bottom w:w="0" w:type="dxa"/>
                  <w:right w:w="0" w:type="dxa"/>
                </w:tblCellMar>
              </w:tblPrEx>
              <w:trPr>
                <w:trHeight w:val="1934" w:hRule="atLeast"/>
                <w:jc w:val="center"/>
              </w:trPr>
              <w:tc>
                <w:tcPr>
                  <w:tcW w:w="3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923628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137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9DD4D6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广东省人工影响天气水资源保障工程项目-火箭发射装置升级更新项目（韶关市新丰县气象局）</w:t>
                  </w:r>
                </w:p>
              </w:tc>
              <w:tc>
                <w:tcPr>
                  <w:tcW w:w="4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D5CFB8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1套</w:t>
                  </w:r>
                </w:p>
              </w:tc>
              <w:tc>
                <w:tcPr>
                  <w:tcW w:w="98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C3B0AF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详见“技术要求”内容</w:t>
                  </w:r>
                </w:p>
              </w:tc>
              <w:tc>
                <w:tcPr>
                  <w:tcW w:w="9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D5FEAF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合同签订之日起一年内</w:t>
                  </w:r>
                </w:p>
              </w:tc>
              <w:tc>
                <w:tcPr>
                  <w:tcW w:w="94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886DF5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114,000.00</w:t>
                  </w:r>
                </w:p>
              </w:tc>
            </w:tr>
          </w:tbl>
          <w:p w14:paraId="4196E11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二、采购项目技术要求</w:t>
            </w:r>
          </w:p>
          <w:p w14:paraId="18B4B256">
            <w:pPr>
              <w:spacing w:line="360" w:lineRule="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火箭通用发射架</w:t>
            </w:r>
            <w:bookmarkStart w:id="0" w:name="_GoBack"/>
            <w:bookmarkEnd w:id="0"/>
          </w:p>
          <w:p w14:paraId="71DDABFD">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满足箭架分离，自动化、信息化功能，设备数据实时对接火箭作业安全终端。</w:t>
            </w:r>
          </w:p>
          <w:p w14:paraId="4FE17638">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1）安全点火发射：在允许的情况下对火箭进行安全点火发射，在其他情况下限制点火；</w:t>
            </w:r>
          </w:p>
          <w:p w14:paraId="2EB5B9A5">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2）无线遥控指挥：发射控制终端发出指令，发射架上的无线接收模块接收指令，并控制发射架完成相应的动作；</w:t>
            </w:r>
          </w:p>
          <w:p w14:paraId="6C2480BF">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3）姿态测量反馈：实时测量发射架定向器的俯仰角和方位角，并能在发射控制器上实时显示；</w:t>
            </w:r>
          </w:p>
          <w:p w14:paraId="79493988">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4）应急操控：无线遥控系统故障时，发射控制终端通过连接电缆的方式对发射架上火箭进行电阻检测和发射；</w:t>
            </w:r>
          </w:p>
          <w:p w14:paraId="70B07C4C">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5）数据存储导出：每发射一枚火箭，能够自动生成一条信息，自动存储在安全锁定器中，并具有数据导出功能；</w:t>
            </w:r>
          </w:p>
          <w:p w14:paraId="24B174AD">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6）自动复位：作业完毕后，发射架可自动回到零位（运输位）；</w:t>
            </w:r>
          </w:p>
          <w:p w14:paraId="5E622663">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7）姿态调整和锁紧：正常情况下，根据接收指令，自动实现发射姿态并电动锁定俯仰角和方位角；出现故障时，可手动操作发射架进行姿态调整并手动锁定俯仰角和方位角；</w:t>
            </w:r>
          </w:p>
          <w:p w14:paraId="414C90E3">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8）具有发射安全保护功能；</w:t>
            </w:r>
          </w:p>
          <w:p w14:paraId="0DE6B873">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9）具有安全射界识别功能。</w:t>
            </w:r>
          </w:p>
          <w:p w14:paraId="1F2053A5">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火箭作业安全监控终端</w:t>
            </w:r>
          </w:p>
          <w:p w14:paraId="0B9A2AC6">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具备作业指令接收、安全射界验证、三码合一、作业状态判断和作业状态上报功能，须与“天工”平台对接。</w:t>
            </w:r>
          </w:p>
          <w:p w14:paraId="75EB11E2">
            <w:pPr>
              <w:spacing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基于三码绑定的人工影响天气火箭发射安全锁控系统</w:t>
            </w:r>
          </w:p>
          <w:p w14:paraId="2F3F5FDC">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1）输入电压范围：±100V；</w:t>
            </w:r>
          </w:p>
          <w:p w14:paraId="1FD0A2F9">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2）额定电压：（16±5%）V；</w:t>
            </w:r>
          </w:p>
          <w:p w14:paraId="5D343432">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3）最大解锁保持时间：300秒（总线断电）；</w:t>
            </w:r>
          </w:p>
          <w:p w14:paraId="08E4FDA6">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4）插入阻抗：小于0.5欧姆；</w:t>
            </w:r>
          </w:p>
          <w:p w14:paraId="2CFAFE8E">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5）灌入电流：&lt;5mA（灌入电压&lt;80时）；</w:t>
            </w:r>
          </w:p>
          <w:p w14:paraId="23C7F318">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6）解锁保持时间设定范围：1~300秒；</w:t>
            </w:r>
          </w:p>
          <w:p w14:paraId="38942054">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7）通信模式：MBUS（双向无极性）；</w:t>
            </w:r>
          </w:p>
          <w:p w14:paraId="2F78B74E">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8）通信速率：1024bps；</w:t>
            </w:r>
          </w:p>
          <w:p w14:paraId="6F561C9F">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9）校验和算法：CRC8。</w:t>
            </w:r>
          </w:p>
          <w:p w14:paraId="28D7C54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三、商务要求</w:t>
            </w:r>
          </w:p>
          <w:p w14:paraId="2FDF4C1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w:t>
            </w:r>
            <w:r>
              <w:rPr>
                <w:rFonts w:hint="eastAsia"/>
                <w:b/>
                <w:bCs/>
                <w:color w:val="auto"/>
                <w:highlight w:val="none"/>
                <w:lang w:val="en-US" w:eastAsia="zh-CN"/>
              </w:rPr>
              <w:t>合同履约期限</w:t>
            </w:r>
          </w:p>
          <w:p w14:paraId="548F9A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合同签订之日起一年内。</w:t>
            </w:r>
          </w:p>
          <w:p w14:paraId="722800C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服务地点</w:t>
            </w:r>
          </w:p>
          <w:p w14:paraId="4F5B61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采购人指定地点。</w:t>
            </w:r>
          </w:p>
          <w:p w14:paraId="72BF2E8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（三）维护服务要求</w:t>
            </w:r>
          </w:p>
          <w:p w14:paraId="17875C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1.质量保证与售后服务：提供完善的售后服务方案，质保期自最终验收合格之日起不少于8年。质保期内，应提供备品备件先行更换。</w:t>
            </w:r>
          </w:p>
          <w:p w14:paraId="254770E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（四）报价要求</w:t>
            </w:r>
          </w:p>
          <w:p w14:paraId="67771CE3">
            <w:pPr>
              <w:pStyle w:val="9"/>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1.报价超出预算金额的列为无效响报价处理。</w:t>
            </w:r>
          </w:p>
          <w:p w14:paraId="7B5AB267">
            <w:pPr>
              <w:pStyle w:val="9"/>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2.供应商必须对本项目的全部内容进行响应报价，如有缺漏，将导致响应无效。</w:t>
            </w:r>
          </w:p>
          <w:p w14:paraId="45082F63">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3.供应商的报价为一次性报价，即在本项目合同履约期限内价格固定不变；报价应为人民币含税全包价。</w:t>
            </w:r>
          </w:p>
          <w:p w14:paraId="3EB27C6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（五）付款方式</w:t>
            </w:r>
          </w:p>
          <w:p w14:paraId="0DCF029B">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.项目最终验收合格后10个工作日内，采购人向供应商支付合同含税总价的100%（以合同签订情况为准）。</w:t>
            </w:r>
          </w:p>
          <w:p w14:paraId="5F980334">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供应商应充分理解采购人支付申请时间，不得因此延迟交付成果和向采购人索赔任何额外费用，不因此追究采购人责任。</w:t>
            </w:r>
          </w:p>
          <w:p w14:paraId="2339ECF8">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2.付款方式：采用银行转账形式。</w:t>
            </w:r>
          </w:p>
          <w:p w14:paraId="0F235062">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3.每笔款项支付时，成交供应商同时向采购人提供相应金额的正式发票。</w:t>
            </w:r>
          </w:p>
          <w:p w14:paraId="14089A1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（六）验收要求</w:t>
            </w:r>
          </w:p>
          <w:p w14:paraId="2BBD9DD9">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sz w:val="21"/>
                <w:szCs w:val="21"/>
                <w:highlight w:val="none"/>
                <w:lang w:val="en-US" w:eastAsia="zh-CN"/>
              </w:rPr>
              <w:t>在交接时当场进行验收。</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kern w:val="0"/>
                <w:sz w:val="21"/>
                <w:szCs w:val="21"/>
                <w:u w:val="none"/>
                <w:lang w:val="en-US" w:eastAsia="zh-CN" w:bidi="ar"/>
              </w:rPr>
            </w:pP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trPr>
        <w:tc>
          <w:tcPr>
            <w:tcW w:w="130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总报价(元）</w:t>
            </w:r>
          </w:p>
        </w:tc>
        <w:tc>
          <w:tcPr>
            <w:tcW w:w="1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p>
        </w:tc>
      </w:tr>
    </w:tbl>
    <w:p w14:paraId="4E8031B0">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ascii="宋体" w:hAnsi="宋体" w:eastAsia="宋体" w:cs="宋体"/>
          <w:i w:val="0"/>
          <w:iCs w:val="0"/>
          <w:color w:val="000000"/>
          <w:kern w:val="0"/>
          <w:sz w:val="21"/>
          <w:szCs w:val="21"/>
          <w:u w:val="none"/>
          <w:lang w:val="en-US" w:eastAsia="zh-CN" w:bidi="ar"/>
        </w:rPr>
      </w:pPr>
    </w:p>
    <w:p w14:paraId="55B9E610">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4C63235C">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lang w:val="en-US" w:eastAsia="zh-CN"/>
        </w:rPr>
      </w:pPr>
      <w:r>
        <w:rPr>
          <w:rFonts w:hint="eastAsia" w:ascii="宋体" w:hAnsi="宋体" w:eastAsia="宋体" w:cs="宋体"/>
          <w:i w:val="0"/>
          <w:iCs w:val="0"/>
          <w:color w:val="000000"/>
          <w:kern w:val="0"/>
          <w:sz w:val="21"/>
          <w:szCs w:val="21"/>
          <w:u w:val="none"/>
          <w:lang w:val="en-US" w:eastAsia="zh-CN" w:bidi="ar"/>
        </w:rPr>
        <w:t>报价日期：</w:t>
      </w:r>
    </w:p>
    <w:sectPr>
      <w:footerReference r:id="rId3" w:type="default"/>
      <w:pgSz w:w="16838" w:h="11906" w:orient="landscape"/>
      <w:pgMar w:top="1191" w:right="1191" w:bottom="102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_x000B__x000C_">
    <w:altName w:val="Times New Roman"/>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3"/>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3"/>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2604E4"/>
    <w:rsid w:val="01DA5C6C"/>
    <w:rsid w:val="034435DC"/>
    <w:rsid w:val="08251EAA"/>
    <w:rsid w:val="08E1392A"/>
    <w:rsid w:val="09B434E5"/>
    <w:rsid w:val="0D373C46"/>
    <w:rsid w:val="0DB066B9"/>
    <w:rsid w:val="1C3404B6"/>
    <w:rsid w:val="201E74B3"/>
    <w:rsid w:val="21515666"/>
    <w:rsid w:val="22035426"/>
    <w:rsid w:val="25A03144"/>
    <w:rsid w:val="2CE850D0"/>
    <w:rsid w:val="308B46F0"/>
    <w:rsid w:val="3259213A"/>
    <w:rsid w:val="349D0823"/>
    <w:rsid w:val="38BF4BE6"/>
    <w:rsid w:val="40992462"/>
    <w:rsid w:val="43D63A7D"/>
    <w:rsid w:val="468E063F"/>
    <w:rsid w:val="4D2E66D8"/>
    <w:rsid w:val="506D7517"/>
    <w:rsid w:val="533E519B"/>
    <w:rsid w:val="636B1FDC"/>
    <w:rsid w:val="67184229"/>
    <w:rsid w:val="6884728A"/>
    <w:rsid w:val="6CE16E6B"/>
    <w:rsid w:val="6EDA1DC4"/>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left="425" w:firstLine="518" w:firstLineChars="216"/>
    </w:pPr>
    <w:rPr>
      <w:rFonts w:ascii="楷体_GB2312" w:eastAsia="楷体_GB2312"/>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unhideWhenUsed/>
    <w:qFormat/>
    <w:uiPriority w:val="99"/>
    <w:pPr>
      <w:ind w:firstLine="42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正"/>
    <w:basedOn w:val="10"/>
    <w:qFormat/>
    <w:uiPriority w:val="0"/>
    <w:pPr>
      <w:spacing w:line="560" w:lineRule="exact"/>
      <w:ind w:firstLine="561"/>
    </w:pPr>
    <w:rPr>
      <w:rFonts w:ascii="Calibri" w:hAnsi="Calibri"/>
      <w:sz w:val="28"/>
      <w:szCs w:val="24"/>
    </w:rPr>
  </w:style>
  <w:style w:type="paragraph" w:customStyle="1" w:styleId="10">
    <w:name w:val="正文 New New New New New New New"/>
    <w:next w:val="11"/>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1">
    <w:name w:val="正文文本 New"/>
    <w:basedOn w:val="12"/>
    <w:qFormat/>
    <w:uiPriority w:val="0"/>
    <w:pPr>
      <w:widowControl w:val="0"/>
      <w:spacing w:line="360" w:lineRule="auto"/>
      <w:ind w:firstLine="0" w:firstLineChars="0"/>
      <w:jc w:val="both"/>
    </w:pPr>
    <w:rPr>
      <w:rFonts w:ascii="_x000B__x000C_" w:hAnsi="_x000B__x000C_" w:eastAsia="宋体" w:cs="Times New Roman"/>
      <w:kern w:val="2"/>
      <w:sz w:val="24"/>
      <w:szCs w:val="20"/>
      <w:lang w:val="en-US" w:eastAsia="zh-CN" w:bidi="ar-SA"/>
    </w:rPr>
  </w:style>
  <w:style w:type="paragraph" w:customStyle="1" w:styleId="12">
    <w:name w:val="正文 New New New New"/>
    <w:next w:val="11"/>
    <w:qFormat/>
    <w:uiPriority w:val="0"/>
    <w:pPr>
      <w:widowControl w:val="0"/>
      <w:adjustRightInd w:val="0"/>
      <w:spacing w:before="60" w:after="60"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13">
    <w:name w:val="UserStyle_43"/>
    <w:basedOn w:val="14"/>
    <w:qFormat/>
    <w:uiPriority w:val="0"/>
    <w:rPr>
      <w:rFonts w:ascii="宋体" w:hAnsi="Courier New"/>
      <w:szCs w:val="21"/>
    </w:rPr>
  </w:style>
  <w:style w:type="paragraph" w:customStyle="1" w:styleId="14">
    <w:name w:val="UserStyle_30"/>
    <w:next w:val="15"/>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5">
    <w:name w:val="UserStyle_20"/>
    <w:basedOn w:val="16"/>
    <w:qFormat/>
    <w:uiPriority w:val="0"/>
    <w:pPr>
      <w:spacing w:line="560" w:lineRule="exact"/>
      <w:ind w:firstLine="561"/>
    </w:pPr>
    <w:rPr>
      <w:rFonts w:eastAsia="仿宋_GB2312"/>
      <w:sz w:val="28"/>
    </w:rPr>
  </w:style>
  <w:style w:type="paragraph" w:customStyle="1" w:styleId="16">
    <w:name w:val="UserStyle_24"/>
    <w:next w:val="15"/>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7">
    <w:name w:val="NormalCharacter"/>
    <w:qFormat/>
    <w:uiPriority w:val="0"/>
  </w:style>
  <w:style w:type="paragraph" w:customStyle="1" w:styleId="18">
    <w:name w:val="179"/>
    <w:basedOn w:val="14"/>
    <w:qFormat/>
    <w:uiPriority w:val="0"/>
    <w:pPr>
      <w:ind w:firstLine="420" w:firstLineChars="200"/>
    </w:pPr>
    <w:rPr>
      <w:rFonts w:ascii="Calibri" w:hAnsi="Calibri"/>
      <w:szCs w:val="22"/>
    </w:rPr>
  </w:style>
  <w:style w:type="paragraph" w:customStyle="1" w:styleId="19">
    <w:name w:val="Table Text"/>
    <w:basedOn w:val="1"/>
    <w:semiHidden/>
    <w:qFormat/>
    <w:uiPriority w:val="0"/>
    <w:rPr>
      <w:rFonts w:ascii="宋体" w:hAnsi="宋体" w:eastAsia="宋体" w:cs="宋体"/>
      <w:sz w:val="24"/>
      <w:szCs w:val="24"/>
      <w:lang w:val="en-US" w:eastAsia="en-US" w:bidi="ar-SA"/>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1">
    <w:name w:val="Plain Text"/>
    <w:basedOn w:val="1"/>
    <w:qFormat/>
    <w:uiPriority w:val="0"/>
    <w:rPr>
      <w:rFonts w:ascii="宋体" w:hAnsi="Courier New"/>
      <w:kern w:val="0"/>
      <w:sz w:val="2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1989</Words>
  <Characters>2308</Characters>
  <Lines>0</Lines>
  <Paragraphs>0</Paragraphs>
  <TotalTime>2</TotalTime>
  <ScaleCrop>false</ScaleCrop>
  <LinksUpToDate>false</LinksUpToDate>
  <CharactersWithSpaces>2364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2026-04-30T05:17:19Z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BCCA7EA7B0534042A7A401879EC817F2_12</vt:lpwstr>
  </property>
  <property fmtid="{D5CDD505-2E9C-101B-9397-08002B2CF9AE}" pid="4" name="KSOTemplateDocerSaveRecord">
    <vt:lpwstr>eyJoZGlkIjoiMDFhYmYyMDVmODQ2MTc2YTQyZTE3ZDE5ODU1MmU1ZTIiLCJ1c2VySWQiOiI2NTU3NzExNTAifQ==</vt:lpwstr>
  </property>
</Properties>
</file>