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b/>
          <w:bCs/>
          <w:color w:val="auto"/>
          <w:sz w:val="32"/>
          <w:szCs w:val="32"/>
          <w:lang w:val="en-US" w:eastAsia="zh-CN"/>
        </w:rPr>
      </w:pPr>
      <w:r>
        <w:rPr>
          <w:rFonts w:hint="eastAsia"/>
          <w:b/>
          <w:bCs/>
          <w:color w:val="auto"/>
          <w:sz w:val="32"/>
          <w:szCs w:val="32"/>
          <w:lang w:val="en-US" w:eastAsia="zh-CN"/>
        </w:rPr>
        <w:t>韶关市乳源公路养护中心购置扫路车项目</w:t>
      </w:r>
    </w:p>
    <w:p>
      <w:pPr>
        <w:spacing w:line="240" w:lineRule="auto"/>
        <w:jc w:val="center"/>
        <w:rPr>
          <w:rFonts w:hint="default"/>
          <w:b/>
          <w:bCs/>
          <w:color w:val="auto"/>
          <w:sz w:val="32"/>
          <w:szCs w:val="32"/>
          <w:lang w:val="en-US" w:eastAsia="zh-CN"/>
        </w:rPr>
      </w:pPr>
      <w:r>
        <w:rPr>
          <w:rFonts w:hint="eastAsia"/>
          <w:b/>
          <w:bCs/>
          <w:color w:val="auto"/>
          <w:sz w:val="32"/>
          <w:szCs w:val="32"/>
          <w:lang w:val="en-US" w:eastAsia="zh-CN"/>
        </w:rPr>
        <w:t>采购需求</w:t>
      </w:r>
      <w:bookmarkStart w:id="9" w:name="_GoBack"/>
      <w:bookmarkEnd w:id="9"/>
    </w:p>
    <w:p>
      <w:pPr>
        <w:rPr>
          <w:color w:val="auto"/>
        </w:rPr>
      </w:pPr>
    </w:p>
    <w:p>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一、</w:t>
      </w:r>
      <w:r>
        <w:rPr>
          <w:rFonts w:hint="eastAsia" w:ascii="宋体" w:hAnsi="宋体" w:eastAsia="宋体" w:cs="宋体"/>
          <w:b/>
          <w:bCs/>
          <w:color w:val="auto"/>
          <w:sz w:val="21"/>
          <w:szCs w:val="21"/>
          <w:lang w:val="en-US" w:eastAsia="zh-CN"/>
        </w:rPr>
        <w:t>采购项目技术规格、参数及其他要求</w:t>
      </w:r>
    </w:p>
    <w:p>
      <w:pPr>
        <w:pStyle w:val="7"/>
        <w:numPr>
          <w:ilvl w:val="0"/>
          <w:numId w:val="0"/>
        </w:numPr>
        <w:spacing w:line="240" w:lineRule="auto"/>
        <w:ind w:firstLine="561"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采购需求一览表</w:t>
      </w:r>
    </w:p>
    <w:tbl>
      <w:tblPr>
        <w:tblStyle w:val="5"/>
        <w:tblW w:w="4998" w:type="pct"/>
        <w:jc w:val="center"/>
        <w:tblLayout w:type="autofit"/>
        <w:tblCellMar>
          <w:top w:w="0" w:type="dxa"/>
          <w:left w:w="0" w:type="dxa"/>
          <w:bottom w:w="0" w:type="dxa"/>
          <w:right w:w="0" w:type="dxa"/>
        </w:tblCellMar>
      </w:tblPr>
      <w:tblGrid>
        <w:gridCol w:w="665"/>
        <w:gridCol w:w="2116"/>
        <w:gridCol w:w="789"/>
        <w:gridCol w:w="1300"/>
        <w:gridCol w:w="2099"/>
        <w:gridCol w:w="1364"/>
      </w:tblGrid>
      <w:tr>
        <w:tblPrEx>
          <w:tblCellMar>
            <w:top w:w="0" w:type="dxa"/>
            <w:left w:w="0" w:type="dxa"/>
            <w:bottom w:w="0" w:type="dxa"/>
            <w:right w:w="0" w:type="dxa"/>
          </w:tblCellMar>
        </w:tblPrEx>
        <w:trPr>
          <w:trHeight w:val="788"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序号</w:t>
            </w:r>
          </w:p>
        </w:tc>
        <w:tc>
          <w:tcPr>
            <w:tcW w:w="126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采购内容</w:t>
            </w:r>
          </w:p>
        </w:tc>
        <w:tc>
          <w:tcPr>
            <w:tcW w:w="4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数量</w:t>
            </w:r>
          </w:p>
        </w:tc>
        <w:tc>
          <w:tcPr>
            <w:tcW w:w="7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技术需求</w:t>
            </w:r>
          </w:p>
        </w:tc>
        <w:tc>
          <w:tcPr>
            <w:tcW w:w="125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交货期</w:t>
            </w:r>
          </w:p>
        </w:tc>
        <w:tc>
          <w:tcPr>
            <w:tcW w:w="8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预算金额</w:t>
            </w:r>
          </w:p>
        </w:tc>
      </w:tr>
      <w:tr>
        <w:tblPrEx>
          <w:tblCellMar>
            <w:top w:w="0" w:type="dxa"/>
            <w:left w:w="0" w:type="dxa"/>
            <w:bottom w:w="0" w:type="dxa"/>
            <w:right w:w="0" w:type="dxa"/>
          </w:tblCellMar>
        </w:tblPrEx>
        <w:trPr>
          <w:trHeight w:val="1380"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126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韶关市乳源公路养护中心购置扫路车项目</w:t>
            </w:r>
          </w:p>
        </w:tc>
        <w:tc>
          <w:tcPr>
            <w:tcW w:w="4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1项</w:t>
            </w:r>
          </w:p>
        </w:tc>
        <w:tc>
          <w:tcPr>
            <w:tcW w:w="7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详见</w:t>
            </w:r>
            <w:r>
              <w:rPr>
                <w:rFonts w:hint="eastAsia" w:ascii="宋体" w:hAnsi="宋体" w:eastAsia="宋体" w:cs="宋体"/>
                <w:color w:val="auto"/>
                <w:sz w:val="21"/>
                <w:szCs w:val="21"/>
                <w:lang w:val="en-US" w:eastAsia="zh-CN"/>
              </w:rPr>
              <w:t>2、采购标的清单、技术规格及参数</w:t>
            </w:r>
          </w:p>
        </w:tc>
        <w:tc>
          <w:tcPr>
            <w:tcW w:w="125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自合同签订之日起30个日历天内交货、安装完毕并通过验收</w:t>
            </w:r>
          </w:p>
        </w:tc>
        <w:tc>
          <w:tcPr>
            <w:tcW w:w="8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pStyle w:val="7"/>
              <w:ind w:left="0" w:leftChars="0" w:firstLine="0" w:firstLineChars="0"/>
              <w:jc w:val="center"/>
              <w:rPr>
                <w:rFonts w:hint="eastAsia"/>
                <w:color w:val="auto"/>
                <w:lang w:val="en-US" w:eastAsia="zh-CN"/>
              </w:rPr>
            </w:pPr>
            <w:r>
              <w:rPr>
                <w:rFonts w:hint="eastAsia" w:ascii="宋体" w:hAnsi="宋体" w:eastAsia="宋体" w:cs="宋体"/>
                <w:i w:val="0"/>
                <w:color w:val="auto"/>
                <w:kern w:val="2"/>
                <w:sz w:val="21"/>
                <w:szCs w:val="21"/>
                <w:u w:val="none"/>
                <w:lang w:val="en-US" w:eastAsia="zh-CN" w:bidi="ar-SA"/>
              </w:rPr>
              <w:t>￥480,000.00</w:t>
            </w:r>
          </w:p>
        </w:tc>
      </w:tr>
    </w:tbl>
    <w:p>
      <w:pPr>
        <w:pStyle w:val="7"/>
        <w:numPr>
          <w:ilvl w:val="0"/>
          <w:numId w:val="0"/>
        </w:numPr>
        <w:spacing w:line="240" w:lineRule="auto"/>
        <w:ind w:firstLine="561" w:firstLineChars="0"/>
        <w:rPr>
          <w:rFonts w:hint="eastAsia" w:ascii="宋体" w:hAnsi="宋体" w:eastAsia="宋体" w:cs="宋体"/>
          <w:color w:val="auto"/>
          <w:kern w:val="2"/>
          <w:sz w:val="21"/>
          <w:szCs w:val="21"/>
          <w:lang w:val="en-US" w:eastAsia="zh-CN" w:bidi="ar-SA"/>
        </w:rPr>
      </w:pPr>
    </w:p>
    <w:p>
      <w:pPr>
        <w:pStyle w:val="7"/>
        <w:numPr>
          <w:ilvl w:val="0"/>
          <w:numId w:val="0"/>
        </w:numPr>
        <w:spacing w:line="240" w:lineRule="auto"/>
        <w:ind w:firstLine="561"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val="en-US" w:eastAsia="zh-CN"/>
        </w:rPr>
        <w:t>采购标的清单、技术规格及参数</w:t>
      </w:r>
    </w:p>
    <w:tbl>
      <w:tblPr>
        <w:tblStyle w:val="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4"/>
        <w:gridCol w:w="1119"/>
        <w:gridCol w:w="4367"/>
        <w:gridCol w:w="665"/>
        <w:gridCol w:w="672"/>
        <w:gridCol w:w="10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序号</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产品名称</w:t>
            </w:r>
          </w:p>
        </w:tc>
        <w:tc>
          <w:tcPr>
            <w:tcW w:w="2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主要技术参数</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单位</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cs="宋体"/>
                <w:i w:val="0"/>
                <w:iCs w:val="0"/>
                <w:color w:val="auto"/>
                <w:sz w:val="21"/>
                <w:szCs w:val="21"/>
                <w:u w:val="none"/>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9" w:hRule="atLeast"/>
        </w:trPr>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扫路车</w:t>
            </w:r>
          </w:p>
        </w:tc>
        <w:tc>
          <w:tcPr>
            <w:tcW w:w="2561"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1.</w:t>
            </w:r>
            <w:r>
              <w:rPr>
                <w:rFonts w:hint="eastAsia" w:ascii="宋体" w:hAnsi="宋体" w:eastAsia="宋体" w:cs="宋体"/>
                <w:i w:val="0"/>
                <w:color w:val="auto"/>
                <w:sz w:val="21"/>
                <w:szCs w:val="21"/>
                <w:u w:val="none"/>
                <w:lang w:val="en-US" w:eastAsia="zh-CN"/>
              </w:rPr>
              <w:t>产品名称：扫路车</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2.</w:t>
            </w:r>
            <w:r>
              <w:rPr>
                <w:rFonts w:hint="eastAsia" w:ascii="宋体" w:hAnsi="宋体" w:eastAsia="宋体" w:cs="宋体"/>
                <w:i w:val="0"/>
                <w:color w:val="auto"/>
                <w:sz w:val="21"/>
                <w:szCs w:val="21"/>
                <w:u w:val="none"/>
                <w:lang w:val="en-US" w:eastAsia="zh-CN"/>
              </w:rPr>
              <w:t>底盘排放标准：国六</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3.</w:t>
            </w:r>
            <w:r>
              <w:rPr>
                <w:rFonts w:hint="eastAsia" w:ascii="宋体" w:hAnsi="宋体" w:eastAsia="宋体" w:cs="宋体"/>
                <w:i w:val="0"/>
                <w:color w:val="auto"/>
                <w:sz w:val="21"/>
                <w:szCs w:val="21"/>
                <w:u w:val="none"/>
                <w:lang w:val="en-US" w:eastAsia="zh-CN"/>
              </w:rPr>
              <w:t>底盘型号：BJ1088VEJEA-FK（欧马可）二类汽车底盘或优于</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4.</w:t>
            </w:r>
            <w:r>
              <w:rPr>
                <w:rFonts w:hint="eastAsia" w:ascii="宋体" w:hAnsi="宋体" w:eastAsia="宋体" w:cs="宋体"/>
                <w:i w:val="0"/>
                <w:color w:val="auto"/>
                <w:sz w:val="21"/>
                <w:szCs w:val="21"/>
                <w:u w:val="none"/>
                <w:lang w:val="en-US" w:eastAsia="zh-CN"/>
              </w:rPr>
              <w:t>总质量(kg)：≤8300</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5.</w:t>
            </w:r>
            <w:r>
              <w:rPr>
                <w:rFonts w:hint="eastAsia" w:ascii="宋体" w:hAnsi="宋体" w:eastAsia="宋体" w:cs="宋体"/>
                <w:i w:val="0"/>
                <w:color w:val="auto"/>
                <w:sz w:val="21"/>
                <w:szCs w:val="21"/>
                <w:u w:val="none"/>
                <w:lang w:val="en-US" w:eastAsia="zh-CN"/>
              </w:rPr>
              <w:t>整备质量(kg)：≤5480</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6.</w:t>
            </w:r>
            <w:r>
              <w:rPr>
                <w:rFonts w:hint="eastAsia" w:ascii="宋体" w:hAnsi="宋体" w:eastAsia="宋体" w:cs="宋体"/>
                <w:i w:val="0"/>
                <w:color w:val="auto"/>
                <w:sz w:val="21"/>
                <w:szCs w:val="21"/>
                <w:u w:val="none"/>
                <w:lang w:val="en-US" w:eastAsia="zh-CN"/>
              </w:rPr>
              <w:t>额定质量(kg)：≥2150</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7.</w:t>
            </w:r>
            <w:r>
              <w:rPr>
                <w:rFonts w:hint="eastAsia" w:ascii="宋体" w:hAnsi="宋体" w:eastAsia="宋体" w:cs="宋体"/>
                <w:i w:val="0"/>
                <w:color w:val="auto"/>
                <w:sz w:val="21"/>
                <w:szCs w:val="21"/>
                <w:u w:val="none"/>
                <w:lang w:val="en-US" w:eastAsia="zh-CN"/>
              </w:rPr>
              <w:t>底盘发动机型号：D25TCIF1柴油发动机或优于</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8.</w:t>
            </w:r>
            <w:r>
              <w:rPr>
                <w:rFonts w:hint="eastAsia" w:ascii="宋体" w:hAnsi="宋体" w:eastAsia="宋体" w:cs="宋体"/>
                <w:i w:val="0"/>
                <w:color w:val="auto"/>
                <w:sz w:val="21"/>
                <w:szCs w:val="21"/>
                <w:u w:val="none"/>
                <w:lang w:val="en-US" w:eastAsia="zh-CN"/>
              </w:rPr>
              <w:t>底盘发动机功率（额定转速3000r/min）时的功率(kW)：≥110</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9.</w:t>
            </w:r>
            <w:r>
              <w:rPr>
                <w:rFonts w:hint="eastAsia" w:ascii="宋体" w:hAnsi="宋体" w:eastAsia="宋体" w:cs="宋体"/>
                <w:i w:val="0"/>
                <w:color w:val="auto"/>
                <w:sz w:val="21"/>
                <w:szCs w:val="21"/>
                <w:u w:val="none"/>
                <w:lang w:val="en-US" w:eastAsia="zh-CN"/>
              </w:rPr>
              <w:t>最高车速(km/h)：≥105</w:t>
            </w:r>
          </w:p>
          <w:p>
            <w:pPr>
              <w:spacing w:line="240" w:lineRule="auto"/>
              <w:jc w:val="left"/>
              <w:rPr>
                <w:rFonts w:hint="default"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10.</w:t>
            </w:r>
            <w:r>
              <w:rPr>
                <w:rFonts w:hint="eastAsia" w:ascii="宋体" w:hAnsi="宋体" w:eastAsia="宋体" w:cs="宋体"/>
                <w:i w:val="0"/>
                <w:color w:val="auto"/>
                <w:sz w:val="21"/>
                <w:szCs w:val="21"/>
                <w:u w:val="none"/>
                <w:lang w:val="en-US" w:eastAsia="zh-CN"/>
              </w:rPr>
              <w:t>驾驶室</w:t>
            </w:r>
            <w:r>
              <w:rPr>
                <w:rFonts w:hint="eastAsia" w:ascii="宋体" w:hAnsi="宋体" w:cs="宋体"/>
                <w:i w:val="0"/>
                <w:color w:val="auto"/>
                <w:sz w:val="21"/>
                <w:szCs w:val="21"/>
                <w:u w:val="none"/>
                <w:lang w:val="en-US" w:eastAsia="zh-CN"/>
              </w:rPr>
              <w:t>座位数及</w:t>
            </w:r>
            <w:r>
              <w:rPr>
                <w:rFonts w:hint="eastAsia" w:ascii="宋体" w:hAnsi="宋体" w:eastAsia="宋体" w:cs="宋体"/>
                <w:i w:val="0"/>
                <w:color w:val="auto"/>
                <w:sz w:val="21"/>
                <w:szCs w:val="21"/>
                <w:u w:val="none"/>
                <w:lang w:val="en-US" w:eastAsia="zh-CN"/>
              </w:rPr>
              <w:t>准</w:t>
            </w:r>
            <w:r>
              <w:rPr>
                <w:rFonts w:hint="eastAsia" w:ascii="宋体" w:hAnsi="宋体" w:cs="宋体"/>
                <w:i w:val="0"/>
                <w:color w:val="auto"/>
                <w:sz w:val="21"/>
                <w:szCs w:val="21"/>
                <w:u w:val="none"/>
                <w:lang w:val="en-US" w:eastAsia="zh-CN"/>
              </w:rPr>
              <w:t>载</w:t>
            </w:r>
            <w:r>
              <w:rPr>
                <w:rFonts w:hint="eastAsia" w:ascii="宋体" w:hAnsi="宋体" w:eastAsia="宋体" w:cs="宋体"/>
                <w:i w:val="0"/>
                <w:color w:val="auto"/>
                <w:sz w:val="21"/>
                <w:szCs w:val="21"/>
                <w:u w:val="none"/>
                <w:lang w:val="en-US" w:eastAsia="zh-CN"/>
              </w:rPr>
              <w:t>人数(人)：≥3</w:t>
            </w:r>
            <w:r>
              <w:rPr>
                <w:rFonts w:hint="eastAsia" w:ascii="宋体" w:hAnsi="宋体" w:cs="宋体"/>
                <w:i w:val="0"/>
                <w:color w:val="auto"/>
                <w:sz w:val="21"/>
                <w:szCs w:val="21"/>
                <w:u w:val="none"/>
                <w:lang w:val="en-US" w:eastAsia="zh-CN"/>
              </w:rPr>
              <w:t xml:space="preserve"> </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11.</w:t>
            </w:r>
            <w:r>
              <w:rPr>
                <w:rFonts w:hint="eastAsia" w:ascii="宋体" w:hAnsi="宋体" w:eastAsia="宋体" w:cs="宋体"/>
                <w:i w:val="0"/>
                <w:color w:val="auto"/>
                <w:sz w:val="21"/>
                <w:szCs w:val="21"/>
                <w:u w:val="none"/>
                <w:lang w:val="en-US" w:eastAsia="zh-CN"/>
              </w:rPr>
              <w:t xml:space="preserve">整车长（mm）：≥5830 </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12.</w:t>
            </w:r>
            <w:r>
              <w:rPr>
                <w:rFonts w:hint="eastAsia" w:ascii="宋体" w:hAnsi="宋体" w:eastAsia="宋体" w:cs="宋体"/>
                <w:i w:val="0"/>
                <w:color w:val="auto"/>
                <w:sz w:val="21"/>
                <w:szCs w:val="21"/>
                <w:u w:val="none"/>
                <w:lang w:val="en-US" w:eastAsia="zh-CN"/>
              </w:rPr>
              <w:t xml:space="preserve">整车宽（mm）：≥2100 </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13.</w:t>
            </w:r>
            <w:r>
              <w:rPr>
                <w:rFonts w:hint="eastAsia" w:ascii="宋体" w:hAnsi="宋体" w:eastAsia="宋体" w:cs="宋体"/>
                <w:i w:val="0"/>
                <w:color w:val="auto"/>
                <w:sz w:val="21"/>
                <w:szCs w:val="21"/>
                <w:u w:val="none"/>
                <w:lang w:val="en-US" w:eastAsia="zh-CN"/>
              </w:rPr>
              <w:t>整车长（mm）：≥2530</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14.</w:t>
            </w:r>
            <w:r>
              <w:rPr>
                <w:rFonts w:hint="eastAsia" w:ascii="宋体" w:hAnsi="宋体" w:eastAsia="宋体" w:cs="宋体"/>
                <w:i w:val="0"/>
                <w:color w:val="auto"/>
                <w:sz w:val="21"/>
                <w:szCs w:val="21"/>
                <w:u w:val="none"/>
                <w:lang w:val="en-US" w:eastAsia="zh-CN"/>
              </w:rPr>
              <w:t>清扫宽度(m)：≥3</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15.</w:t>
            </w:r>
            <w:r>
              <w:rPr>
                <w:rFonts w:hint="eastAsia" w:ascii="宋体" w:hAnsi="宋体" w:eastAsia="宋体" w:cs="宋体"/>
                <w:i w:val="0"/>
                <w:color w:val="auto"/>
                <w:sz w:val="21"/>
                <w:szCs w:val="21"/>
                <w:u w:val="none"/>
                <w:lang w:val="en-US" w:eastAsia="zh-CN"/>
              </w:rPr>
              <w:t>最大清扫能力(m2/h)：≥62000</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16.</w:t>
            </w:r>
            <w:r>
              <w:rPr>
                <w:rFonts w:hint="eastAsia" w:ascii="宋体" w:hAnsi="宋体" w:eastAsia="宋体" w:cs="宋体"/>
                <w:i w:val="0"/>
                <w:color w:val="auto"/>
                <w:sz w:val="21"/>
                <w:szCs w:val="21"/>
                <w:u w:val="none"/>
                <w:lang w:val="en-US" w:eastAsia="zh-CN"/>
              </w:rPr>
              <w:t>作业清扫速度范围(km/h)：3-20</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17.</w:t>
            </w:r>
            <w:r>
              <w:rPr>
                <w:rFonts w:hint="eastAsia" w:ascii="宋体" w:hAnsi="宋体" w:eastAsia="宋体" w:cs="宋体"/>
                <w:i w:val="0"/>
                <w:color w:val="auto"/>
                <w:sz w:val="21"/>
                <w:szCs w:val="21"/>
                <w:u w:val="none"/>
                <w:lang w:val="en-US" w:eastAsia="zh-CN"/>
              </w:rPr>
              <w:t>最大吸入粒度(mm)：≥110</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18.</w:t>
            </w:r>
            <w:r>
              <w:rPr>
                <w:rFonts w:hint="eastAsia" w:ascii="宋体" w:hAnsi="宋体" w:eastAsia="宋体" w:cs="宋体"/>
                <w:i w:val="0"/>
                <w:color w:val="auto"/>
                <w:sz w:val="21"/>
                <w:szCs w:val="21"/>
                <w:u w:val="none"/>
                <w:lang w:val="en-US" w:eastAsia="zh-CN"/>
              </w:rPr>
              <w:t>垃圾箱有效容积(m3)：≥2.5</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19.</w:t>
            </w:r>
            <w:r>
              <w:rPr>
                <w:rFonts w:hint="eastAsia" w:ascii="宋体" w:hAnsi="宋体" w:eastAsia="宋体" w:cs="宋体"/>
                <w:i w:val="0"/>
                <w:color w:val="auto"/>
                <w:sz w:val="21"/>
                <w:szCs w:val="21"/>
                <w:u w:val="none"/>
                <w:lang w:val="en-US" w:eastAsia="zh-CN"/>
              </w:rPr>
              <w:t>最小转弯直径(m)：≤15.5</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20.</w:t>
            </w:r>
            <w:r>
              <w:rPr>
                <w:rFonts w:hint="eastAsia" w:ascii="宋体" w:hAnsi="宋体" w:eastAsia="宋体" w:cs="宋体"/>
                <w:i w:val="0"/>
                <w:color w:val="auto"/>
                <w:sz w:val="21"/>
                <w:szCs w:val="21"/>
                <w:u w:val="none"/>
                <w:lang w:val="en-US" w:eastAsia="zh-CN"/>
              </w:rPr>
              <w:t>整车需采用“显示屏+控制器+CAN总线操作面板”的控制模式。作业起动和作业停止时，吸嘴升降、扫盘收放等作业装置全由一键控制，操作简便。</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21.</w:t>
            </w:r>
            <w:r>
              <w:rPr>
                <w:rFonts w:hint="eastAsia" w:ascii="宋体" w:hAnsi="宋体" w:eastAsia="宋体" w:cs="宋体"/>
                <w:i w:val="0"/>
                <w:color w:val="auto"/>
                <w:sz w:val="21"/>
                <w:szCs w:val="21"/>
                <w:u w:val="none"/>
                <w:lang w:val="en-US" w:eastAsia="zh-CN"/>
              </w:rPr>
              <w:t>整车需可根据路面情况选择多种作业模式，选定作业模式后各作业机构的启动与关停由程序自动控制，智能化一键式操作，产品作业模式有全扫作业、左扫作业、右扫作业等。</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22.</w:t>
            </w:r>
            <w:r>
              <w:rPr>
                <w:rFonts w:hint="eastAsia" w:ascii="宋体" w:hAnsi="宋体" w:eastAsia="宋体" w:cs="宋体"/>
                <w:i w:val="0"/>
                <w:color w:val="auto"/>
                <w:sz w:val="21"/>
                <w:szCs w:val="21"/>
                <w:u w:val="none"/>
                <w:lang w:val="en-US" w:eastAsia="zh-CN"/>
              </w:rPr>
              <w:t>整车需采用“中置四立扫＋后置吸嘴” 对称结构布置形式，方便道路左右两边路沿清扫。</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23.</w:t>
            </w:r>
            <w:r>
              <w:rPr>
                <w:rFonts w:hint="eastAsia" w:ascii="宋体" w:hAnsi="宋体" w:eastAsia="宋体" w:cs="宋体"/>
                <w:i w:val="0"/>
                <w:color w:val="auto"/>
                <w:sz w:val="21"/>
                <w:szCs w:val="21"/>
                <w:u w:val="none"/>
                <w:lang w:val="en-US" w:eastAsia="zh-CN"/>
              </w:rPr>
              <w:t>副发动机与风机需采用离心式自动离合器连接装置，可保证副发动机在启动和停机时与风机自动脱离，可提高副发动机的工作可靠性和使用寿命，简化了操作。</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24.</w:t>
            </w:r>
            <w:r>
              <w:rPr>
                <w:rFonts w:hint="eastAsia" w:ascii="宋体" w:hAnsi="宋体" w:eastAsia="宋体" w:cs="宋体"/>
                <w:i w:val="0"/>
                <w:color w:val="auto"/>
                <w:sz w:val="21"/>
                <w:szCs w:val="21"/>
                <w:u w:val="none"/>
                <w:lang w:val="en-US" w:eastAsia="zh-CN"/>
              </w:rPr>
              <w:t>需设置手动泵应急系统，在副发动机停机的状态下也能收放、举升垃圾箱，便于维护保养。</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25.</w:t>
            </w:r>
            <w:r>
              <w:rPr>
                <w:rFonts w:hint="eastAsia" w:ascii="宋体" w:hAnsi="宋体" w:eastAsia="宋体" w:cs="宋体"/>
                <w:i w:val="0"/>
                <w:color w:val="auto"/>
                <w:sz w:val="21"/>
                <w:szCs w:val="21"/>
                <w:u w:val="none"/>
                <w:lang w:val="en-US" w:eastAsia="zh-CN"/>
              </w:rPr>
              <w:t>需配备语音报警系统能在作业和卸车时发出多种语音报警和提示信息，有 “水箱水位低，不能清洗作业”、“污水箱倾翻，请注意安全”等条语音提示信息，还有多条音乐提示信息和轰鸣报警信息等。</w:t>
            </w:r>
          </w:p>
          <w:p>
            <w:pPr>
              <w:spacing w:line="240" w:lineRule="auto"/>
              <w:jc w:val="left"/>
              <w:rPr>
                <w:rFonts w:hint="eastAsia" w:ascii="宋体" w:hAnsi="宋体" w:eastAsia="宋体" w:cs="宋体"/>
                <w:i w:val="0"/>
                <w:color w:val="auto"/>
                <w:sz w:val="21"/>
                <w:szCs w:val="21"/>
                <w:u w:val="none"/>
                <w:lang w:val="en-US" w:eastAsia="zh-CN"/>
              </w:rPr>
            </w:pPr>
            <w:r>
              <w:rPr>
                <w:rFonts w:hint="default" w:ascii="宋体" w:hAnsi="宋体" w:eastAsia="宋体" w:cs="宋体"/>
                <w:i w:val="0"/>
                <w:color w:val="auto"/>
                <w:sz w:val="21"/>
                <w:szCs w:val="21"/>
                <w:u w:val="none"/>
                <w:lang w:val="en-US" w:eastAsia="zh-CN"/>
              </w:rPr>
              <w:t>26.</w:t>
            </w:r>
            <w:r>
              <w:rPr>
                <w:rFonts w:hint="eastAsia" w:ascii="宋体" w:hAnsi="宋体" w:eastAsia="宋体" w:cs="宋体"/>
                <w:i w:val="0"/>
                <w:color w:val="auto"/>
                <w:sz w:val="21"/>
                <w:szCs w:val="21"/>
                <w:u w:val="none"/>
                <w:lang w:val="en-US" w:eastAsia="zh-CN"/>
              </w:rPr>
              <w:t>为确保操作人员和设备安全，在垃圾箱下部设有安全撑杆。</w:t>
            </w:r>
          </w:p>
          <w:p>
            <w:p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color w:val="auto"/>
                <w:sz w:val="21"/>
                <w:szCs w:val="21"/>
                <w:u w:val="none"/>
                <w:lang w:val="en-US" w:eastAsia="zh-CN"/>
              </w:rPr>
              <w:t>27.</w:t>
            </w:r>
            <w:r>
              <w:rPr>
                <w:rFonts w:hint="eastAsia" w:ascii="宋体" w:hAnsi="宋体" w:eastAsia="宋体" w:cs="宋体"/>
                <w:i w:val="0"/>
                <w:color w:val="auto"/>
                <w:sz w:val="21"/>
                <w:szCs w:val="21"/>
                <w:u w:val="none"/>
                <w:lang w:val="en-US" w:eastAsia="zh-CN"/>
              </w:rPr>
              <w:t>需配有防漏净、油位油温自动报警装置的油箱，避免发生大量液压油外漏的情况。同时在系统由于意外原因造成液压油外泄时经维修后仍有足够的液压油完成各项功能动作。</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color w:val="auto"/>
                <w:szCs w:val="21"/>
              </w:rPr>
              <w:t>1</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color w:val="auto"/>
                <w:szCs w:val="21"/>
              </w:rPr>
              <w:t>辆</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bl>
    <w:p>
      <w:pPr>
        <w:pStyle w:val="7"/>
        <w:ind w:left="0" w:leftChars="0" w:firstLine="0" w:firstLineChars="0"/>
        <w:rPr>
          <w:color w:val="auto"/>
        </w:rPr>
      </w:pPr>
    </w:p>
    <w:p>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二、</w:t>
      </w:r>
      <w:r>
        <w:rPr>
          <w:rFonts w:hint="eastAsia" w:ascii="宋体" w:hAnsi="宋体" w:eastAsia="宋体" w:cs="宋体"/>
          <w:b/>
          <w:bCs/>
          <w:color w:val="auto"/>
          <w:sz w:val="21"/>
          <w:szCs w:val="21"/>
          <w:lang w:val="en-US" w:eastAsia="zh-CN"/>
        </w:rPr>
        <w:t>商务</w:t>
      </w:r>
      <w:r>
        <w:rPr>
          <w:rFonts w:hint="eastAsia" w:ascii="宋体" w:hAnsi="宋体" w:cs="宋体"/>
          <w:b/>
          <w:bCs/>
          <w:color w:val="auto"/>
          <w:sz w:val="21"/>
          <w:szCs w:val="21"/>
          <w:lang w:val="en-US" w:eastAsia="zh-CN"/>
        </w:rPr>
        <w:t>要求</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（一）交货期：自合同签订之日起30个日历天内交货、安装完毕并通过验收。</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bookmarkStart w:id="0" w:name="_Toc32156"/>
      <w:bookmarkStart w:id="1" w:name="_Toc28873"/>
      <w:bookmarkStart w:id="2" w:name="_Toc25791"/>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二</w:t>
      </w:r>
      <w:r>
        <w:rPr>
          <w:rFonts w:hint="eastAsia" w:ascii="宋体" w:hAnsi="宋体" w:eastAsia="宋体" w:cs="宋体"/>
          <w:color w:val="auto"/>
          <w:sz w:val="21"/>
          <w:szCs w:val="21"/>
          <w:lang w:eastAsia="zh-CN"/>
        </w:rPr>
        <w:t>）</w:t>
      </w:r>
      <w:bookmarkEnd w:id="0"/>
      <w:bookmarkEnd w:id="1"/>
      <w:bookmarkEnd w:id="2"/>
      <w:r>
        <w:rPr>
          <w:rFonts w:hint="eastAsia" w:ascii="宋体" w:hAnsi="宋体" w:eastAsia="宋体" w:cs="宋体"/>
          <w:color w:val="auto"/>
          <w:sz w:val="21"/>
          <w:szCs w:val="21"/>
          <w:lang w:val="en-US" w:eastAsia="zh-CN"/>
        </w:rPr>
        <w:t>交货地点：采购人指定地点</w:t>
      </w:r>
    </w:p>
    <w:p>
      <w:pPr>
        <w:pStyle w:val="8"/>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3" w:name="_Toc9499"/>
      <w:bookmarkStart w:id="4" w:name="_Toc13181"/>
      <w:bookmarkStart w:id="5" w:name="_Toc1420"/>
      <w:r>
        <w:rPr>
          <w:rFonts w:hint="eastAsia" w:ascii="宋体" w:hAnsi="宋体" w:eastAsia="宋体" w:cs="宋体"/>
          <w:color w:val="auto"/>
          <w:sz w:val="21"/>
          <w:szCs w:val="21"/>
          <w:lang w:val="en-US" w:eastAsia="zh-CN"/>
        </w:rPr>
        <w:t>（三）</w:t>
      </w:r>
      <w:bookmarkEnd w:id="3"/>
      <w:bookmarkEnd w:id="4"/>
      <w:bookmarkEnd w:id="5"/>
      <w:bookmarkStart w:id="6" w:name="_Toc19154"/>
      <w:r>
        <w:rPr>
          <w:rFonts w:hint="eastAsia" w:ascii="宋体" w:hAnsi="宋体" w:eastAsia="宋体" w:cs="宋体"/>
          <w:color w:val="auto"/>
          <w:sz w:val="21"/>
          <w:szCs w:val="21"/>
          <w:lang w:val="en-US" w:eastAsia="zh-CN"/>
        </w:rPr>
        <w:t>质保期及售后服务要求</w:t>
      </w:r>
      <w:bookmarkEnd w:id="6"/>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本合同的质量保证期（简称“质保期”）为1年，质保期内成交供应商对所供货物实行包修、包换、包退及合同约定的其它事项，期满后可同时提供终身(有偿)售后维修保养服务，供应商需具备韶关地区拥有制造商授权已在运营成熟的本地专业售后维修保养服务跟进售后服务。</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2.质保期内，如设备或零部件因质量原因出现故障而造成短期停用时，则质保期和免费维修期相应顺延。如停用时间累计超过60天则质保期重新计算。</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3.对采购人的服务通知，成交供应商在接报后1小时内响应，4小时内到达现场，48小时内处理完毕。若在48小时内仍未能有效解决，成交供应商须免费提供同档次的设备予采购人临时使用。</w:t>
      </w:r>
    </w:p>
    <w:p>
      <w:pPr>
        <w:pStyle w:val="8"/>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7" w:name="_Toc30170"/>
      <w:r>
        <w:rPr>
          <w:rFonts w:hint="eastAsia" w:ascii="宋体" w:hAnsi="宋体" w:eastAsia="宋体" w:cs="宋体"/>
          <w:color w:val="auto"/>
          <w:sz w:val="21"/>
          <w:szCs w:val="21"/>
          <w:lang w:val="en-US" w:eastAsia="zh-CN"/>
        </w:rPr>
        <w:t>（四）安装与调试</w:t>
      </w:r>
      <w:bookmarkEnd w:id="7"/>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1.成交供应商必须依照招标文件的要求和投标文件的承诺，将设备安装并调试至正常运行的最佳状态。</w:t>
      </w:r>
    </w:p>
    <w:p>
      <w:pPr>
        <w:pStyle w:val="8"/>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8" w:name="_Toc13225"/>
      <w:r>
        <w:rPr>
          <w:rFonts w:hint="eastAsia" w:ascii="宋体" w:hAnsi="宋体" w:eastAsia="宋体" w:cs="宋体"/>
          <w:color w:val="auto"/>
          <w:sz w:val="21"/>
          <w:szCs w:val="21"/>
          <w:lang w:val="en-US" w:eastAsia="zh-CN"/>
        </w:rPr>
        <w:t>（五）验收：</w:t>
      </w:r>
      <w:bookmarkEnd w:id="8"/>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1.交付验收标准依次序对照适用标准为：①符合中华人民共和国国家安全质量标准、环保标准或行业标准；②符合招标文件和响应承诺中采购人认可的合理最佳配置、参数及各项要求；③货物来源国官方标准。</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2.进口产品必须具备原产地证明和商检局的检验证明及合法进货渠道证明。</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3.货物为原厂商未启封全新包装，具出厂合格证，序列号、包装箱号与出厂批号一致，并可追索查阅。所有随设备的附件必须齐全。</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4.成交供应商应将关键主</w:t>
      </w:r>
      <w:r>
        <w:rPr>
          <w:rFonts w:hint="eastAsia" w:ascii="宋体" w:hAnsi="宋体" w:cs="宋体"/>
          <w:color w:val="auto"/>
          <w:sz w:val="21"/>
          <w:szCs w:val="21"/>
          <w:lang w:val="en-US" w:eastAsia="zh-CN"/>
        </w:rPr>
        <w:t>要</w:t>
      </w:r>
      <w:r>
        <w:rPr>
          <w:rFonts w:hint="eastAsia" w:ascii="宋体" w:hAnsi="宋体" w:eastAsia="宋体" w:cs="宋体"/>
          <w:color w:val="auto"/>
          <w:sz w:val="21"/>
          <w:szCs w:val="21"/>
          <w:lang w:val="en-US" w:eastAsia="zh-CN"/>
        </w:rPr>
        <w:t>设备的用户手册、保修手册、有关单证资料及配备件、随机工具等交付给采购人，使用操作及安全须知等重要资料应附有中文说明。</w:t>
      </w:r>
    </w:p>
    <w:p>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采购人组成验收小组按国家有关规定、规范进行验收，必要时邀请相关的专业人员或机构参与验收。因货物质量问题发生争议时，由本地质量技术监督部门鉴定。货物符合质量技术标准的，鉴定费由采购人承担；否则鉴定费由成交供应商承担。</w:t>
      </w:r>
    </w:p>
    <w:p>
      <w:pPr>
        <w:pStyle w:val="4"/>
        <w:ind w:left="0" w:leftChars="0"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（六）付款方式：合同签订生效，项目验收合格后的20个工作日内，采购人向成交供应商支付合同总金额的100%。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53150F65"/>
    <w:rsid w:val="53150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styleId="3">
    <w:name w:val="Body Text Indent"/>
    <w:basedOn w:val="1"/>
    <w:qFormat/>
    <w:uiPriority w:val="0"/>
    <w:pPr>
      <w:spacing w:line="360" w:lineRule="auto"/>
      <w:ind w:left="425" w:firstLine="518" w:firstLineChars="216"/>
    </w:pPr>
    <w:rPr>
      <w:rFonts w:ascii="楷体_GB2312" w:eastAsia="楷体_GB2312"/>
      <w:sz w:val="24"/>
    </w:rPr>
  </w:style>
  <w:style w:type="paragraph" w:styleId="4">
    <w:name w:val="Body Text First Indent 2"/>
    <w:basedOn w:val="3"/>
    <w:unhideWhenUsed/>
    <w:qFormat/>
    <w:uiPriority w:val="99"/>
    <w:pPr>
      <w:ind w:firstLine="420" w:firstLineChars="200"/>
    </w:pPr>
  </w:style>
  <w:style w:type="paragraph" w:customStyle="1" w:styleId="7">
    <w:name w:val="正文正"/>
    <w:basedOn w:val="1"/>
    <w:qFormat/>
    <w:uiPriority w:val="0"/>
    <w:pPr>
      <w:spacing w:line="560" w:lineRule="exact"/>
      <w:ind w:firstLine="561"/>
    </w:pPr>
    <w:rPr>
      <w:rFonts w:ascii="Calibri" w:hAnsi="Calibri"/>
      <w:sz w:val="28"/>
      <w:szCs w:val="24"/>
    </w:rPr>
  </w:style>
  <w:style w:type="paragraph" w:customStyle="1" w:styleId="8">
    <w:name w:val="Normal Indent"/>
    <w:basedOn w:val="9"/>
    <w:qFormat/>
    <w:uiPriority w:val="0"/>
    <w:pPr>
      <w:widowControl/>
      <w:ind w:firstLine="420"/>
      <w:jc w:val="left"/>
    </w:pPr>
    <w:rPr>
      <w:rFonts w:ascii="Times New Roman" w:hAnsi="Times New Roman"/>
      <w:kern w:val="0"/>
      <w:szCs w:val="20"/>
    </w:rPr>
  </w:style>
  <w:style w:type="paragraph" w:customStyle="1" w:styleId="9">
    <w:name w:val="正文 New"/>
    <w:next w:val="8"/>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2023-08-29T09:11:00Z</dcterms:created>
  <dc:creator>罗华秋</dc:creator>
  <cp:lastModifiedBy>罗华秋</cp:lastModifiedBy>
  <dcterms:modified xsi:type="dcterms:W3CDTF">2023-08-29T09:19:59Z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662E5CE52EC44EC88BF1D57DEDBA4833_11</vt:lpwstr>
  </property>
</Properties>
</file>