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bCs/>
          <w:color w:val="auto"/>
          <w:sz w:val="34"/>
          <w:szCs w:val="34"/>
          <w:lang w:val="zh-CN"/>
        </w:rPr>
      </w:pPr>
      <w:r>
        <w:rPr>
          <w:rFonts w:hint="eastAsia" w:ascii="宋体" w:hAnsi="宋体" w:cs="宋体"/>
          <w:b/>
          <w:bCs/>
          <w:color w:val="auto"/>
          <w:sz w:val="34"/>
          <w:szCs w:val="34"/>
          <w:lang w:val="zh-CN"/>
        </w:rPr>
        <w:t>乐昌市消防救援大队综合体能训练器材采购项目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b/>
          <w:bCs/>
          <w:color w:val="auto"/>
          <w:sz w:val="34"/>
          <w:szCs w:val="34"/>
          <w:lang w:val="zh-CN"/>
        </w:rPr>
      </w:pPr>
      <w:r>
        <w:rPr>
          <w:rFonts w:hint="eastAsia" w:ascii="宋体" w:hAnsi="宋体" w:eastAsia="宋体" w:cs="宋体"/>
          <w:b/>
          <w:bCs/>
          <w:color w:val="auto"/>
          <w:sz w:val="34"/>
          <w:szCs w:val="34"/>
        </w:rPr>
        <w:t>采购需求</w:t>
      </w:r>
    </w:p>
    <w:p>
      <w:pPr>
        <w:numPr>
          <w:ilvl w:val="0"/>
          <w:numId w:val="0"/>
        </w:numPr>
        <w:outlineLvl w:val="9"/>
        <w:rPr>
          <w:rFonts w:hint="eastAsia" w:ascii="宋体" w:hAnsi="宋体" w:eastAsia="宋体" w:cs="宋体"/>
          <w:b/>
          <w:bCs/>
          <w:color w:val="auto"/>
          <w:sz w:val="21"/>
          <w:szCs w:val="21"/>
        </w:rPr>
      </w:pPr>
    </w:p>
    <w:p>
      <w:pPr>
        <w:numPr>
          <w:ilvl w:val="0"/>
          <w:numId w:val="0"/>
        </w:numPr>
        <w:outlineLvl w:val="9"/>
        <w:rPr>
          <w:rFonts w:hint="eastAsia" w:ascii="宋体" w:hAnsi="宋体" w:eastAsia="宋体" w:cs="宋体"/>
          <w:b/>
          <w:bCs/>
          <w:color w:val="auto"/>
          <w:sz w:val="21"/>
          <w:szCs w:val="21"/>
          <w:lang w:val="en-US" w:eastAsia="zh-CN"/>
        </w:rPr>
      </w:pPr>
    </w:p>
    <w:p>
      <w:pPr>
        <w:spacing w:line="360" w:lineRule="auto"/>
        <w:outlineLvl w:val="9"/>
        <w:rPr>
          <w:rFonts w:hint="eastAsia" w:ascii="宋体" w:hAnsi="宋体" w:eastAsia="宋体" w:cs="宋体"/>
          <w:b/>
          <w:bCs/>
          <w:color w:val="auto"/>
          <w:szCs w:val="21"/>
        </w:rPr>
      </w:pPr>
      <w:r>
        <w:rPr>
          <w:rFonts w:hint="eastAsia" w:ascii="宋体" w:hAnsi="宋体" w:cs="宋体"/>
          <w:b/>
          <w:bCs/>
          <w:color w:val="auto"/>
          <w:szCs w:val="21"/>
          <w:lang w:val="en-US" w:eastAsia="zh-CN"/>
        </w:rPr>
        <w:t>一</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采购项目内容</w:t>
      </w:r>
    </w:p>
    <w:p>
      <w:pPr>
        <w:numPr>
          <w:ilvl w:val="0"/>
          <w:numId w:val="3"/>
        </w:numPr>
        <w:spacing w:line="360" w:lineRule="auto"/>
        <w:outlineLvl w:val="9"/>
        <w:rPr>
          <w:rFonts w:hint="eastAsia" w:ascii="宋体" w:hAnsi="宋体" w:eastAsia="宋体" w:cs="宋体"/>
          <w:color w:val="auto"/>
          <w:szCs w:val="21"/>
        </w:rPr>
      </w:pPr>
      <w:r>
        <w:rPr>
          <w:rFonts w:hint="eastAsia" w:ascii="宋体" w:hAnsi="宋体" w:eastAsia="宋体" w:cs="宋体"/>
          <w:color w:val="auto"/>
          <w:szCs w:val="21"/>
        </w:rPr>
        <w:t>项目名称：</w:t>
      </w:r>
      <w:r>
        <w:rPr>
          <w:rFonts w:hint="eastAsia" w:ascii="宋体" w:hAnsi="宋体" w:eastAsia="宋体" w:cs="宋体"/>
          <w:color w:val="auto"/>
          <w:sz w:val="21"/>
          <w:szCs w:val="21"/>
          <w:lang w:eastAsia="zh-CN"/>
        </w:rPr>
        <w:t>乐昌市消防救援大队综合体能训练器材采购项目</w:t>
      </w:r>
    </w:p>
    <w:p>
      <w:pPr>
        <w:numPr>
          <w:ilvl w:val="0"/>
          <w:numId w:val="3"/>
        </w:numPr>
        <w:spacing w:line="360" w:lineRule="auto"/>
        <w:outlineLvl w:val="9"/>
        <w:rPr>
          <w:rFonts w:hint="eastAsia" w:ascii="宋体" w:hAnsi="宋体" w:eastAsia="宋体" w:cs="宋体"/>
          <w:color w:val="auto"/>
          <w:szCs w:val="21"/>
        </w:rPr>
      </w:pPr>
      <w:r>
        <w:rPr>
          <w:rFonts w:hint="eastAsia" w:ascii="宋体" w:hAnsi="宋体" w:eastAsia="宋体" w:cs="宋体"/>
          <w:color w:val="auto"/>
          <w:szCs w:val="21"/>
          <w:lang w:val="en-US" w:eastAsia="zh-CN"/>
        </w:rPr>
        <w:t>完成期</w:t>
      </w:r>
      <w:r>
        <w:rPr>
          <w:rFonts w:hint="eastAsia" w:ascii="宋体" w:hAnsi="宋体" w:eastAsia="宋体" w:cs="宋体"/>
          <w:color w:val="auto"/>
          <w:szCs w:val="21"/>
        </w:rPr>
        <w:t>限：</w:t>
      </w:r>
      <w:r>
        <w:rPr>
          <w:rFonts w:hint="eastAsia" w:ascii="宋体" w:hAnsi="宋体" w:eastAsia="宋体" w:cs="宋体"/>
          <w:color w:val="auto"/>
          <w:szCs w:val="21"/>
          <w:lang w:val="en-US" w:eastAsia="zh-CN"/>
        </w:rPr>
        <w:t>2022年12月10日前完成</w:t>
      </w:r>
      <w:r>
        <w:rPr>
          <w:rFonts w:hint="eastAsia" w:ascii="宋体" w:hAnsi="宋体" w:cs="宋体"/>
          <w:szCs w:val="21"/>
        </w:rPr>
        <w:t>（包括供货、安装、调试、验收工作）</w:t>
      </w:r>
      <w:r>
        <w:rPr>
          <w:rFonts w:hint="eastAsia" w:ascii="宋体" w:hAnsi="宋体" w:eastAsia="宋体" w:cs="宋体"/>
          <w:color w:val="auto"/>
          <w:szCs w:val="21"/>
        </w:rPr>
        <w:t>。</w:t>
      </w:r>
    </w:p>
    <w:p>
      <w:pPr>
        <w:numPr>
          <w:ilvl w:val="0"/>
          <w:numId w:val="3"/>
        </w:numPr>
        <w:spacing w:line="360" w:lineRule="auto"/>
        <w:outlineLvl w:val="9"/>
        <w:rPr>
          <w:rFonts w:hint="eastAsia" w:ascii="宋体" w:hAnsi="宋体" w:eastAsia="宋体" w:cs="宋体"/>
          <w:color w:val="auto"/>
          <w:szCs w:val="21"/>
        </w:rPr>
      </w:pPr>
      <w:r>
        <w:rPr>
          <w:rFonts w:hint="eastAsia" w:ascii="宋体" w:hAnsi="宋体" w:eastAsia="宋体" w:cs="宋体"/>
          <w:color w:val="auto"/>
          <w:szCs w:val="21"/>
        </w:rPr>
        <w:t>入选家数：1家。</w:t>
      </w:r>
    </w:p>
    <w:p>
      <w:pPr>
        <w:pStyle w:val="2"/>
        <w:ind w:left="0" w:leftChars="0" w:firstLine="0" w:firstLineChars="0"/>
        <w:outlineLvl w:val="9"/>
        <w:rPr>
          <w:rFonts w:hint="eastAsia"/>
          <w:color w:val="auto"/>
        </w:rPr>
      </w:pPr>
    </w:p>
    <w:p>
      <w:pPr>
        <w:numPr>
          <w:ilvl w:val="0"/>
          <w:numId w:val="0"/>
        </w:numPr>
        <w:spacing w:line="360" w:lineRule="auto"/>
        <w:outlineLvl w:val="9"/>
        <w:rPr>
          <w:rFonts w:hint="eastAsia" w:ascii="宋体" w:hAnsi="宋体" w:eastAsia="宋体" w:cs="宋体"/>
          <w:b/>
          <w:bCs/>
          <w:color w:val="auto"/>
          <w:szCs w:val="21"/>
        </w:rPr>
      </w:pPr>
      <w:r>
        <w:rPr>
          <w:rFonts w:hint="eastAsia" w:ascii="宋体" w:hAnsi="宋体" w:cs="宋体"/>
          <w:b/>
          <w:bCs/>
          <w:color w:val="auto"/>
          <w:szCs w:val="21"/>
          <w:lang w:val="en-US" w:eastAsia="zh-CN"/>
        </w:rPr>
        <w:t>二</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采购项目清单</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1283"/>
        <w:gridCol w:w="680"/>
        <w:gridCol w:w="5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74" w:type="pct"/>
            <w:shd w:val="clear" w:color="000000" w:fill="auto"/>
            <w:noWrap/>
            <w:vAlign w:val="center"/>
          </w:tcPr>
          <w:p>
            <w:pPr>
              <w:jc w:val="center"/>
              <w:outlineLvl w:val="9"/>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序号</w:t>
            </w:r>
          </w:p>
        </w:tc>
        <w:tc>
          <w:tcPr>
            <w:tcW w:w="753" w:type="pct"/>
            <w:shd w:val="clear" w:color="000000" w:fill="auto"/>
            <w:noWrap w:val="0"/>
            <w:vAlign w:val="center"/>
          </w:tcPr>
          <w:p>
            <w:pPr>
              <w:jc w:val="center"/>
              <w:outlineLvl w:val="9"/>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项目</w:t>
            </w:r>
          </w:p>
        </w:tc>
        <w:tc>
          <w:tcPr>
            <w:tcW w:w="399" w:type="pct"/>
            <w:shd w:val="clear" w:color="000000" w:fill="auto"/>
            <w:noWrap w:val="0"/>
            <w:vAlign w:val="center"/>
          </w:tcPr>
          <w:p>
            <w:pPr>
              <w:jc w:val="center"/>
              <w:outlineLvl w:val="9"/>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数量</w:t>
            </w:r>
          </w:p>
        </w:tc>
        <w:tc>
          <w:tcPr>
            <w:tcW w:w="3373" w:type="pct"/>
            <w:shd w:val="clear" w:color="000000" w:fill="auto"/>
            <w:noWrap w:val="0"/>
            <w:vAlign w:val="center"/>
          </w:tcPr>
          <w:p>
            <w:pPr>
              <w:widowControl/>
              <w:jc w:val="center"/>
              <w:outlineLvl w:val="9"/>
              <w:rPr>
                <w:rFonts w:hint="eastAsia" w:ascii="宋体" w:hAnsi="宋体" w:eastAsia="宋体" w:cs="宋体"/>
                <w:b/>
                <w:bCs/>
                <w:color w:val="auto"/>
                <w:kern w:val="0"/>
                <w:sz w:val="21"/>
                <w:szCs w:val="21"/>
                <w:lang w:eastAsia="zh-CN"/>
              </w:rPr>
            </w:pPr>
            <w:r>
              <w:rPr>
                <w:rFonts w:hint="eastAsia" w:ascii="宋体" w:hAnsi="宋体" w:eastAsia="宋体" w:cs="宋体"/>
                <w:b/>
                <w:bCs/>
                <w:color w:val="auto"/>
                <w:kern w:val="0"/>
                <w:sz w:val="21"/>
                <w:szCs w:val="21"/>
                <w:lang w:val="en-US" w:eastAsia="zh-CN"/>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坐式高拉训练机</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座、靠垫均采用聚氨酯发泡工艺，表面为1mm高档加厚PVC皮革面料，耐磨，耐汗，耐候性极佳。</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采用直径4.5mm高强度柔性进口钢丝绳和25*3MM传动带，运动顺畅，安全无噪音。</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冷轧钢精密配重块，器材配重为150lb到300lb之间，可根据客户需求选配。</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多档可调节角度设计，更方便不同身高者使用。</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独立分动的力臂，运动更顺畅自如。</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增加7lb小配重，更方便重量调节。</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配重片调节采用强磁插销。</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rPr>
              <w:t>调节采用杠杆原理，坐垫专利技术。</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尺寸</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1522*1430*1852 mm</w:t>
            </w:r>
          </w:p>
          <w:p>
            <w:pPr>
              <w:widowControl/>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重量</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215KG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坐式上斜推肩训练机</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座、靠垫均采用聚氨酯发泡工艺，表面为1mm高档加厚PVC皮革面料，耐磨，耐汗，耐候性极佳。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采用直径4.5mm高强度柔性进口钢丝绳和25*3MM传动带，运动顺畅，安全无噪音。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冷轧钢精密配重块，器材配重为150lb到300lb之间，可根据客户需求选配。</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多档可调节角度设计，更方便不同身高者使用。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独立分动的力臂，提供了自然的运动轨迹，可调式背垫适合各类体型者使用。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 xml:space="preserve">表面采用亮银灰涂层，亮丽美观。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rPr>
              <w:t>增加7lb小配重，更方便重量调节。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配重片调节采用强磁插销。</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座垫调节采用杠杆原理，坐垫专利技术。</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12、</w:t>
            </w:r>
            <w:r>
              <w:rPr>
                <w:rFonts w:hint="eastAsia" w:ascii="宋体" w:hAnsi="宋体" w:eastAsia="宋体" w:cs="宋体"/>
                <w:color w:val="auto"/>
                <w:kern w:val="0"/>
                <w:sz w:val="21"/>
                <w:szCs w:val="21"/>
              </w:rPr>
              <w:t>尺寸</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1530*1540*1520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13、</w:t>
            </w:r>
            <w:r>
              <w:rPr>
                <w:rFonts w:hint="eastAsia" w:ascii="宋体" w:hAnsi="宋体" w:eastAsia="宋体" w:cs="宋体"/>
                <w:color w:val="auto"/>
                <w:kern w:val="0"/>
                <w:sz w:val="21"/>
                <w:szCs w:val="21"/>
              </w:rPr>
              <w:t>重量</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221KG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坐式推胸训练机</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座、靠垫均采用聚氨酯发泡工艺，表面为1mm高档加厚PVC皮革面料，耐磨，耐汗，耐候性极佳。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采用直径4.5mm高强度柔性进口钢丝绳和25*3MM传动带，运动顺畅，安全无噪音。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冷轧钢精密配重块，器材配重为150lb到300lb之间，可根据客户需求选配。</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多档可调节角度设计，更方便不同身高者使用。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独立分动的力臂，运动更顺畅自如。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倾斜式座椅设计，减少运动中背部压力，可调式背垫适合各类体型者使用。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增加7lb小配重，更方便重量调节。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rPr>
              <w:t>配重片调节采用强磁插销。</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调节采用杠杆原理，坐垫专利技术。</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尺寸</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1107*1405*1524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12、</w:t>
            </w:r>
            <w:r>
              <w:rPr>
                <w:rFonts w:hint="eastAsia" w:ascii="宋体" w:hAnsi="宋体" w:eastAsia="宋体" w:cs="宋体"/>
                <w:color w:val="auto"/>
                <w:kern w:val="0"/>
                <w:sz w:val="21"/>
                <w:szCs w:val="21"/>
              </w:rPr>
              <w:t>重量</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215KG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可调哑铃凳</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座、靠垫均采用聚氨酯发泡工艺，表面为1mm高档加厚PVC皮革面料，耐磨，耐汗，耐候性极佳。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可调式倾斜长椅，背架上设有6档不同位置以调节倾斜度。</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多角度调整，固定坐垫至舒适程度。</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整体单轮设备使练习者运动起来更加方便。</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尺寸：1318*691*490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重量：49KG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坐式踢腿训练机</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座、靠垫均采用聚氨酯发泡工艺，表面为1mm高档加厚PVC皮革面料，耐磨，耐汗，耐候性极佳。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采用25*3MM传动带，运动顺畅，安全无噪音。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冷轧钢精密配重块，器材配重为150lb到300lb之间，可根据客户需求选配。</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倾斜式座椅和背垫能更有效放松和训练全股四头肌。</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多档可调节角度设计，更方便不同身高者使用。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增加7lb小配重，更方便重量调节。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配重片调节采用强磁插销。</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rPr>
              <w:t>调节采用杠杆原理，坐垫专利技术。</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尺寸</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1156*1407*1524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重量</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215KG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大飞鸟</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采用直径4.5mm高强度柔性钢丝绳，运动顺畅，安全无噪音。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紧固件采用美制8.8级镀镍点耐落螺丝，坚固耐用，永不生锈。</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多档可调节角度设计，更方便不同身高者使用。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适合各种体型人群，锻炼方式更多，效果更佳。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表面采用亮银灰涂层，亮丽美观。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标准配件包括直杆、通用支架防护罩、短带把手和长待把手。</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 xml:space="preserve">8、 </w:t>
            </w: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4的阻力比例，提供更低的起始阻力，便于进行高速运动。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3厘米的实心配重片配备2厘米厚的镀铬导杆，运动更平稳。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0</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直径为1厘米的磁性插销，更稳定，不会弹出。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尺寸</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1557*1119*2336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12、</w:t>
            </w:r>
            <w:r>
              <w:rPr>
                <w:rFonts w:hint="eastAsia" w:ascii="宋体" w:hAnsi="宋体" w:eastAsia="宋体" w:cs="宋体"/>
                <w:color w:val="auto"/>
                <w:kern w:val="0"/>
                <w:sz w:val="21"/>
                <w:szCs w:val="21"/>
              </w:rPr>
              <w:t>重量</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510KG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深蹲架</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主管材：SPHC137*40*3.0平椭圆管，新颖独特。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多框架设计，适合不同体型的健身者高密度塑料机架和安全防护装置能保护表面漆层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重量：240KG</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尺寸：1838*1630*2344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双层10付位哑铃架</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座、靠垫均采用聚氨酯发泡工艺，表面为1mm高档加厚PVC皮革面料，耐磨，耐汗，耐候性极佳。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表面采用亮银灰涂层，亮丽美观。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此哑铃架为每个哑铃提供相应的位置</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 xml:space="preserve">可以摆放超过10套的任何尺寸的哑铃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当拿或更换哑铃时，支管和成角度的底盘可以防止后张力的产生</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双层10付位哑铃架</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尺寸：2121*592*721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rPr>
              <w:t>重量：124KG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753" w:type="pct"/>
            <w:noWrap w:val="0"/>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可调式腹</w:t>
            </w:r>
          </w:p>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肌板</w:t>
            </w:r>
          </w:p>
        </w:tc>
        <w:tc>
          <w:tcPr>
            <w:tcW w:w="399" w:type="pct"/>
            <w:noWrap w:val="0"/>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座、靠垫均采用聚氨酯发泡工艺，表面为1mm高档加厚PVC皮革面料，耐磨，耐汗，耐候性极佳。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设计中简单的弹簧大头针可调节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3点基本设计提供稳定性</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当使用时，大直径滚轮垫为使用者提供舒适的感觉并给予支持。橡胶制品把套可帮助使用者进出安全。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尺寸：1674*790*853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重量：68KG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45度背肌伸展训练椅</w:t>
            </w:r>
          </w:p>
        </w:tc>
        <w:tc>
          <w:tcPr>
            <w:tcW w:w="399" w:type="pct"/>
            <w:noWrap w:val="0"/>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座、靠垫均采用聚氨酯发泡工艺，表面为1mm高档加厚PVC皮革面料，耐磨，耐汗，耐候性极佳。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采用机械主义原理，整体运动简单稳定易调整</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橡胶框架保护，塑料脚垫防护</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橡胶垫独特防滑措施</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腿部保护垫表层采用乙烯基，更加稳定安全舒适。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45度罗马椅</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尺寸：1532*790*826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rPr>
              <w:t>重量：68KG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拉筋机</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主管材：SPHC137*40*3.0平椭圆管，新颖独特。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座、靠垫均采用聚氨酯发泡工艺，表面为1mm高档加厚PVC皮革面料，耐磨，耐汗，耐候性极佳。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表面采用亮银灰涂层，亮丽美观。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尺寸：1300*770*1133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乒乓球台</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18</w:t>
            </w:r>
            <w:r>
              <w:rPr>
                <w:rFonts w:hint="eastAsia" w:ascii="宋体" w:hAnsi="宋体" w:eastAsia="宋体" w:cs="宋体"/>
                <w:color w:val="auto"/>
                <w:sz w:val="21"/>
                <w:szCs w:val="21"/>
              </w:rPr>
              <w:t>mm比赛级面板，稳固高弹；</w:t>
            </w:r>
          </w:p>
          <w:p>
            <w:pPr>
              <w:widowControl/>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淋涂工艺，面板色泽好、弹性强，球感优秀； </w:t>
            </w:r>
          </w:p>
          <w:p>
            <w:pPr>
              <w:widowControl/>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40mm支撑脚，承重强，稳定性高；</w:t>
            </w:r>
          </w:p>
          <w:p>
            <w:pPr>
              <w:widowControl/>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可折叠移动式，不占空间，8个刹车脚轮移动方便；</w:t>
            </w:r>
          </w:p>
          <w:p>
            <w:pPr>
              <w:widowControl/>
              <w:jc w:val="left"/>
              <w:outlineLvl w:val="9"/>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球台转角处防撞包边设计，避免误撞伤；</w:t>
            </w:r>
          </w:p>
          <w:p>
            <w:pPr>
              <w:pStyle w:val="2"/>
              <w:ind w:left="0" w:leftChars="0" w:firstLine="0" w:firstLineChars="0"/>
              <w:outlineLvl w:val="9"/>
              <w:rPr>
                <w:rFonts w:hint="eastAsia" w:ascii="宋体" w:hAnsi="宋体" w:eastAsia="宋体" w:cs="宋体"/>
                <w:color w:val="auto"/>
                <w:sz w:val="21"/>
                <w:szCs w:val="21"/>
                <w:lang w:val="en-US" w:eastAsia="zh-CN"/>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尺寸：2740*1525*760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13</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水平练习椅</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座、靠垫均采用聚氨酯发泡工艺，表面为1mm高档加厚PVC皮革面料，耐磨，耐汗，耐候性极佳。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rPr>
              <w:t>三点固定地面，稳定性更强</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头垫与主垫分离设计，头垫可单独替换</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固定地面装置采取新的保护性措施</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尺寸：1265*790*462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重量：43KG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14</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水平推举椅</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座、靠垫均采用聚氨酯发泡工艺，表面为1mm高档加厚;PVC皮革面料，耐磨，耐汗，耐候性极佳。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更便于练习者使用。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奥运重量存储选项是可供选择的。</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xml:space="preserve">柔软头垫使机器更换成本降低。 </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使运动者始终置身于高密度塑料防撞气垫的保护中。</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rPr>
              <w:t>尺寸：1387*1298*1219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重量：95KG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15</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蝴蝶式胸肌训练器</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座、靠垫均采用聚氨酯发泡工艺，表面为1mm高档加厚PVC皮革面料，耐磨，耐汗，耐候性极佳。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采用直径4.5mm高强度柔性进口钢丝绳和25*3MM传动带，运动顺畅，安全无噪音。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冷轧钢精密配重块，器材配重为150lb到300lb之间，可根据客户需求选配。</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根据健身者的需求，有5个健身起始位置可供选择。</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多档可调节角度设计，更方便不同身高者使用。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增加7lb小配重，更方便重量调节。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配重片调节采用强磁插销。</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调节采用杠杆原理，坐垫调整专利技术。</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0</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塑胶件采用优质ABS，并配以冷灰色，高端时尚。</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尺寸</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1229*830*2069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12、</w:t>
            </w:r>
            <w:r>
              <w:rPr>
                <w:rFonts w:hint="eastAsia" w:ascii="宋体" w:hAnsi="宋体" w:eastAsia="宋体" w:cs="宋体"/>
                <w:color w:val="auto"/>
                <w:kern w:val="0"/>
                <w:sz w:val="21"/>
                <w:szCs w:val="21"/>
              </w:rPr>
              <w:t>重量</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225KG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16</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哑铃</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环保包胶哑铃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17</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杠铃片</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环保包胶杠铃片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18</w:t>
            </w:r>
          </w:p>
        </w:tc>
        <w:tc>
          <w:tcPr>
            <w:tcW w:w="753" w:type="pct"/>
            <w:noWrap w:val="0"/>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奥杆</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豪华奥杆2.2m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19</w:t>
            </w:r>
          </w:p>
        </w:tc>
        <w:tc>
          <w:tcPr>
            <w:tcW w:w="753" w:type="pct"/>
            <w:noWrap w:val="0"/>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专业黑八桌球台</w:t>
            </w:r>
          </w:p>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（带自动收球架）</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1、配置：4.5cm高密度火山青石板，进口橡木，花式槽脚，国际通用带I型钢库。 银色，金色二款可选。</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2、配件：PMC888俱乐部台昵，，水晶球一盒，架杆一支配十字叉，3/4双节橡木球杆四支，球盘一个，三角架一个，清洁扫一个，杆架一副，巧克粉一盒，杆咀一盒。集球器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w:t>
            </w:r>
          </w:p>
        </w:tc>
        <w:tc>
          <w:tcPr>
            <w:tcW w:w="753" w:type="pct"/>
            <w:noWrap w:val="0"/>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倒蹬机</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rPr>
              <w:t>座垫均采用聚氨酯发泡工艺，表面为1mm高档加厚PVC皮革面料，耐磨，耐汗，耐候性极佳。</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3、</w:t>
            </w:r>
            <w:r>
              <w:rPr>
                <w:rFonts w:hint="eastAsia" w:ascii="宋体" w:hAnsi="宋体" w:eastAsia="宋体" w:cs="宋体"/>
                <w:color w:val="auto"/>
                <w:kern w:val="0"/>
                <w:sz w:val="21"/>
                <w:szCs w:val="21"/>
              </w:rPr>
              <w:t>双轨道滚轮设机计，静音无声，运动更顺畅自如。</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4、</w:t>
            </w:r>
            <w:r>
              <w:rPr>
                <w:rFonts w:hint="eastAsia" w:ascii="宋体" w:hAnsi="宋体" w:eastAsia="宋体" w:cs="宋体"/>
                <w:color w:val="auto"/>
                <w:kern w:val="0"/>
                <w:sz w:val="21"/>
                <w:szCs w:val="21"/>
              </w:rPr>
              <w:t>背垫多档位调节，使使用者使用更加舒适。</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踏板扶手添加对使用者进入方便简洁。</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6、</w:t>
            </w:r>
            <w:r>
              <w:rPr>
                <w:rFonts w:hint="eastAsia" w:ascii="宋体" w:hAnsi="宋体" w:eastAsia="宋体" w:cs="宋体"/>
                <w:color w:val="auto"/>
                <w:kern w:val="0"/>
                <w:sz w:val="21"/>
                <w:szCs w:val="21"/>
              </w:rPr>
              <w:t>限位重力翻转结构，为使用者提供更安全的有力保障。</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7、</w:t>
            </w:r>
            <w:r>
              <w:rPr>
                <w:rFonts w:hint="eastAsia" w:ascii="宋体" w:hAnsi="宋体" w:eastAsia="宋体" w:cs="宋体"/>
                <w:color w:val="auto"/>
                <w:kern w:val="0"/>
                <w:sz w:val="21"/>
                <w:szCs w:val="21"/>
              </w:rPr>
              <w:t>塑胶件采用优质ABS，并配以冷灰色，高端时尚。</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8、</w:t>
            </w:r>
            <w:r>
              <w:rPr>
                <w:rFonts w:hint="eastAsia" w:ascii="宋体" w:hAnsi="宋体" w:eastAsia="宋体" w:cs="宋体"/>
                <w:color w:val="auto"/>
                <w:kern w:val="0"/>
                <w:sz w:val="21"/>
                <w:szCs w:val="21"/>
              </w:rPr>
              <w:t>4个配重片存储挂角，存取方便简洁。</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9、</w:t>
            </w:r>
            <w:r>
              <w:rPr>
                <w:rFonts w:hint="eastAsia" w:ascii="宋体" w:hAnsi="宋体" w:eastAsia="宋体" w:cs="宋体"/>
                <w:color w:val="auto"/>
                <w:kern w:val="0"/>
                <w:sz w:val="21"/>
                <w:szCs w:val="21"/>
              </w:rPr>
              <w:t>尺寸:  2277*1325*1430 mm</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10、</w:t>
            </w:r>
            <w:r>
              <w:rPr>
                <w:rFonts w:hint="eastAsia" w:ascii="宋体" w:hAnsi="宋体" w:eastAsia="宋体" w:cs="宋体"/>
                <w:color w:val="auto"/>
                <w:kern w:val="0"/>
                <w:sz w:val="21"/>
                <w:szCs w:val="21"/>
              </w:rPr>
              <w:t xml:space="preserve">重量: </w:t>
            </w:r>
            <w:r>
              <w:rPr>
                <w:rFonts w:hint="eastAsia" w:ascii="宋体" w:hAnsi="宋体" w:eastAsia="宋体" w:cs="宋体"/>
                <w:color w:val="auto"/>
                <w:kern w:val="0"/>
                <w:sz w:val="21"/>
                <w:szCs w:val="21"/>
                <w:lang w:val="en-US" w:eastAsia="zh-CN"/>
              </w:rPr>
              <w:t>257</w:t>
            </w:r>
            <w:r>
              <w:rPr>
                <w:rFonts w:hint="eastAsia" w:ascii="宋体" w:hAnsi="宋体" w:eastAsia="宋体" w:cs="宋体"/>
                <w:color w:val="auto"/>
                <w:kern w:val="0"/>
                <w:sz w:val="21"/>
                <w:szCs w:val="21"/>
              </w:rPr>
              <w:t>KG</w:t>
            </w:r>
          </w:p>
          <w:p>
            <w:pPr>
              <w:widowControl/>
              <w:jc w:val="left"/>
              <w:outlineLvl w:val="9"/>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11、</w:t>
            </w:r>
            <w:r>
              <w:rPr>
                <w:rFonts w:hint="eastAsia" w:ascii="宋体" w:hAnsi="宋体" w:eastAsia="宋体" w:cs="宋体"/>
                <w:color w:val="auto"/>
                <w:kern w:val="0"/>
                <w:sz w:val="21"/>
                <w:szCs w:val="21"/>
              </w:rPr>
              <w:t>训练部位: 股四头肌 臀肌 腘绳肌 内收肌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4" w:type="pct"/>
            <w:noWrap/>
            <w:vAlign w:val="center"/>
          </w:tcPr>
          <w:p>
            <w:pPr>
              <w:jc w:val="center"/>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p>
        </w:tc>
        <w:tc>
          <w:tcPr>
            <w:tcW w:w="753"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单双杠辅助训练器</w:t>
            </w:r>
          </w:p>
        </w:tc>
        <w:tc>
          <w:tcPr>
            <w:tcW w:w="399" w:type="pct"/>
            <w:noWrap w:val="0"/>
            <w:vAlign w:val="center"/>
          </w:tcPr>
          <w:p>
            <w:pPr>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73" w:type="pct"/>
            <w:noWrap w:val="0"/>
            <w:vAlign w:val="top"/>
          </w:tcPr>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主管材：SPHC137*40*3平椭圆管，新颖独特。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采用25*3MM传动带，运动顺畅，安全无噪音。</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冷轧钢精密配重块，器材配重为150lb到300lb之间，可根据客户需求选配。</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台阶设计，易于进出训练，适应于各类锻炼者进行全方位运动。</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相较于跪立式的设计，站立式设计使运动者更容易进出训练，也能更好更全面的协调身体的运动轨迹。</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两边的浸塑把手可旋转，适宜不同体型的运动者锻炼不同部位的肌肉。</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多握式引体向上设计增加了锻炼的多样性。</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增加7lb小配重，更方便重量调节。</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9</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配重片调节采用强磁插销。</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10、</w:t>
            </w:r>
            <w:r>
              <w:rPr>
                <w:rFonts w:hint="eastAsia" w:ascii="宋体" w:hAnsi="宋体" w:eastAsia="宋体" w:cs="宋体"/>
                <w:color w:val="auto"/>
                <w:kern w:val="0"/>
                <w:sz w:val="21"/>
                <w:szCs w:val="21"/>
              </w:rPr>
              <w:t>尺寸</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1948*990*2491 mm</w:t>
            </w:r>
          </w:p>
          <w:p>
            <w:pPr>
              <w:widowControl/>
              <w:jc w:val="left"/>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11、</w:t>
            </w:r>
            <w:r>
              <w:rPr>
                <w:rFonts w:hint="eastAsia" w:ascii="宋体" w:hAnsi="宋体" w:eastAsia="宋体" w:cs="宋体"/>
                <w:color w:val="auto"/>
                <w:kern w:val="0"/>
                <w:sz w:val="21"/>
                <w:szCs w:val="21"/>
              </w:rPr>
              <w:t>重量</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265KG</w:t>
            </w:r>
          </w:p>
        </w:tc>
      </w:tr>
    </w:tbl>
    <w:p>
      <w:pPr>
        <w:spacing w:line="360" w:lineRule="auto"/>
        <w:ind w:left="840" w:right="-197" w:rightChars="-94" w:hanging="843" w:hangingChars="400"/>
        <w:jc w:val="left"/>
        <w:outlineLvl w:val="9"/>
        <w:rPr>
          <w:rFonts w:hint="default" w:ascii="宋体" w:hAnsi="宋体" w:eastAsia="宋体" w:cs="宋体"/>
          <w:b/>
          <w:bCs/>
          <w:color w:val="auto"/>
          <w:szCs w:val="21"/>
          <w:u w:val="none"/>
          <w:lang w:val="en-US" w:eastAsia="zh-CN"/>
        </w:rPr>
      </w:pPr>
      <w:r>
        <w:rPr>
          <w:rFonts w:hint="eastAsia" w:ascii="宋体" w:hAnsi="宋体" w:cs="宋体"/>
          <w:b/>
          <w:bCs/>
          <w:color w:val="auto"/>
          <w:szCs w:val="21"/>
          <w:u w:val="none"/>
          <w:lang w:val="en-US" w:eastAsia="zh-CN"/>
        </w:rPr>
        <w:t>三</w:t>
      </w:r>
      <w:r>
        <w:rPr>
          <w:rFonts w:hint="eastAsia" w:ascii="宋体" w:hAnsi="宋体" w:eastAsia="宋体" w:cs="宋体"/>
          <w:b/>
          <w:bCs/>
          <w:color w:val="auto"/>
          <w:szCs w:val="21"/>
          <w:u w:val="none"/>
          <w:lang w:val="en-US" w:eastAsia="zh-CN"/>
        </w:rPr>
        <w:t>、报价要求</w:t>
      </w:r>
    </w:p>
    <w:p>
      <w:pPr>
        <w:numPr>
          <w:ilvl w:val="0"/>
          <w:numId w:val="4"/>
        </w:numPr>
        <w:spacing w:line="360" w:lineRule="auto"/>
        <w:ind w:left="425" w:leftChars="0" w:right="-197" w:rightChars="-94" w:hanging="425" w:firstLineChars="0"/>
        <w:jc w:val="left"/>
        <w:outlineLvl w:val="9"/>
        <w:rPr>
          <w:rFonts w:hint="eastAsia" w:ascii="宋体" w:hAnsi="宋体" w:eastAsia="宋体" w:cs="宋体"/>
          <w:b w:val="0"/>
          <w:bCs w:val="0"/>
          <w:color w:val="auto"/>
          <w:szCs w:val="21"/>
          <w:u w:val="none"/>
        </w:rPr>
      </w:pPr>
      <w:r>
        <w:rPr>
          <w:rFonts w:hint="eastAsia" w:ascii="宋体" w:hAnsi="宋体" w:eastAsia="宋体" w:cs="宋体"/>
          <w:b w:val="0"/>
          <w:bCs w:val="0"/>
          <w:color w:val="auto"/>
          <w:szCs w:val="21"/>
          <w:lang w:val="en-US" w:eastAsia="zh-CN"/>
        </w:rPr>
        <w:t>供应商</w:t>
      </w:r>
      <w:r>
        <w:rPr>
          <w:rFonts w:hint="eastAsia" w:ascii="宋体" w:hAnsi="宋体" w:eastAsia="宋体" w:cs="宋体"/>
          <w:b w:val="0"/>
          <w:bCs w:val="0"/>
          <w:color w:val="auto"/>
          <w:szCs w:val="21"/>
        </w:rPr>
        <w:t>必须对本项目进行单价报价，</w:t>
      </w:r>
      <w:r>
        <w:rPr>
          <w:rFonts w:hint="eastAsia" w:ascii="宋体" w:hAnsi="宋体" w:eastAsia="宋体" w:cs="宋体"/>
          <w:b w:val="0"/>
          <w:bCs w:val="0"/>
          <w:color w:val="auto"/>
          <w:szCs w:val="21"/>
          <w:u w:val="none"/>
        </w:rPr>
        <w:t>报价超出单价最高限价的列为无效</w:t>
      </w:r>
      <w:r>
        <w:rPr>
          <w:rFonts w:hint="eastAsia" w:ascii="宋体" w:hAnsi="宋体" w:eastAsia="宋体" w:cs="宋体"/>
          <w:b w:val="0"/>
          <w:bCs w:val="0"/>
          <w:color w:val="auto"/>
          <w:szCs w:val="21"/>
          <w:u w:val="none"/>
          <w:lang w:val="en-US" w:eastAsia="zh-CN"/>
        </w:rPr>
        <w:t>报价</w:t>
      </w:r>
      <w:r>
        <w:rPr>
          <w:rFonts w:hint="eastAsia" w:ascii="宋体" w:hAnsi="宋体" w:eastAsia="宋体" w:cs="宋体"/>
          <w:b w:val="0"/>
          <w:bCs w:val="0"/>
          <w:color w:val="auto"/>
          <w:szCs w:val="21"/>
          <w:u w:val="none"/>
        </w:rPr>
        <w:t>处理。</w:t>
      </w:r>
    </w:p>
    <w:p>
      <w:pPr>
        <w:numPr>
          <w:ilvl w:val="0"/>
          <w:numId w:val="4"/>
        </w:numPr>
        <w:spacing w:line="360" w:lineRule="auto"/>
        <w:ind w:left="425" w:leftChars="0" w:right="-197" w:rightChars="-94" w:hanging="425" w:firstLineChars="0"/>
        <w:jc w:val="left"/>
        <w:outlineLvl w:val="9"/>
        <w:rPr>
          <w:rFonts w:hint="eastAsia" w:ascii="宋体" w:hAnsi="宋体" w:eastAsia="宋体" w:cs="宋体"/>
          <w:b w:val="0"/>
          <w:bCs w:val="0"/>
          <w:color w:val="auto"/>
          <w:szCs w:val="21"/>
        </w:rPr>
      </w:pPr>
      <w:r>
        <w:rPr>
          <w:rFonts w:hint="eastAsia" w:ascii="宋体" w:hAnsi="宋体" w:eastAsia="宋体" w:cs="宋体"/>
          <w:b w:val="0"/>
          <w:bCs w:val="0"/>
          <w:color w:val="auto"/>
          <w:szCs w:val="21"/>
        </w:rPr>
        <w:t>投标报价应为人民币含税价，</w:t>
      </w:r>
      <w:r>
        <w:rPr>
          <w:rFonts w:hint="eastAsia" w:ascii="宋体" w:hAnsi="宋体" w:eastAsia="宋体" w:cs="宋体"/>
          <w:b w:val="0"/>
          <w:bCs w:val="0"/>
          <w:color w:val="auto"/>
          <w:szCs w:val="21"/>
          <w:lang w:val="en-US" w:eastAsia="zh-CN"/>
        </w:rPr>
        <w:t>成交供应商</w:t>
      </w:r>
      <w:r>
        <w:rPr>
          <w:rFonts w:hint="eastAsia" w:ascii="宋体" w:hAnsi="宋体" w:eastAsia="宋体" w:cs="宋体"/>
          <w:b w:val="0"/>
          <w:bCs w:val="0"/>
          <w:color w:val="auto"/>
          <w:szCs w:val="21"/>
        </w:rPr>
        <w:t>必须提供包括生产、包装、运输、更换、重做、维修、质量检验及售后服务等一切额外费用均已包含在内。</w:t>
      </w:r>
    </w:p>
    <w:p>
      <w:pPr>
        <w:spacing w:line="360" w:lineRule="auto"/>
        <w:outlineLvl w:val="9"/>
        <w:rPr>
          <w:rFonts w:hint="eastAsia" w:ascii="宋体" w:hAnsi="宋体" w:eastAsia="宋体" w:cs="宋体"/>
          <w:b/>
          <w:bCs/>
          <w:color w:val="auto"/>
          <w:szCs w:val="21"/>
        </w:rPr>
      </w:pPr>
    </w:p>
    <w:p>
      <w:pPr>
        <w:widowControl/>
        <w:spacing w:line="360" w:lineRule="auto"/>
        <w:jc w:val="left"/>
        <w:outlineLvl w:val="9"/>
        <w:rPr>
          <w:rFonts w:hint="eastAsia" w:ascii="宋体" w:hAnsi="宋体" w:cs="宋体"/>
          <w:b/>
          <w:bCs/>
          <w:kern w:val="0"/>
          <w:szCs w:val="21"/>
          <w:lang w:bidi="ar"/>
        </w:rPr>
      </w:pPr>
      <w:r>
        <w:rPr>
          <w:rFonts w:hint="eastAsia" w:ascii="宋体" w:hAnsi="宋体" w:cs="宋体"/>
          <w:b/>
          <w:bCs/>
          <w:kern w:val="0"/>
          <w:szCs w:val="21"/>
          <w:lang w:val="en-US" w:eastAsia="zh-CN" w:bidi="ar"/>
        </w:rPr>
        <w:t>四</w:t>
      </w:r>
      <w:r>
        <w:rPr>
          <w:rFonts w:hint="eastAsia" w:ascii="宋体" w:hAnsi="宋体" w:cs="宋体"/>
          <w:b/>
          <w:bCs/>
          <w:kern w:val="0"/>
          <w:szCs w:val="21"/>
          <w:lang w:bidi="ar"/>
        </w:rPr>
        <w:t>、商务要求</w:t>
      </w:r>
    </w:p>
    <w:p>
      <w:pPr>
        <w:tabs>
          <w:tab w:val="left" w:pos="3210"/>
        </w:tabs>
        <w:spacing w:line="360" w:lineRule="auto"/>
        <w:outlineLvl w:val="9"/>
        <w:rPr>
          <w:rFonts w:hint="eastAsia" w:ascii="宋体" w:hAnsi="宋体" w:cs="宋体"/>
          <w:b/>
          <w:szCs w:val="21"/>
        </w:rPr>
      </w:pPr>
      <w:r>
        <w:rPr>
          <w:rFonts w:hint="eastAsia" w:ascii="宋体" w:hAnsi="宋体" w:cs="宋体"/>
          <w:b/>
          <w:szCs w:val="21"/>
        </w:rPr>
        <w:t>（一）供货要求</w:t>
      </w:r>
    </w:p>
    <w:p>
      <w:pPr>
        <w:pStyle w:val="8"/>
        <w:numPr>
          <w:ilvl w:val="0"/>
          <w:numId w:val="5"/>
        </w:numPr>
        <w:spacing w:line="360" w:lineRule="auto"/>
        <w:ind w:leftChars="0"/>
        <w:outlineLvl w:val="9"/>
        <w:rPr>
          <w:rFonts w:hint="eastAsia" w:ascii="宋体" w:hAnsi="宋体" w:cs="宋体"/>
          <w:szCs w:val="21"/>
        </w:rPr>
      </w:pPr>
      <w:r>
        <w:rPr>
          <w:rFonts w:hint="eastAsia" w:ascii="宋体" w:hAnsi="宋体" w:cs="宋体"/>
          <w:szCs w:val="21"/>
        </w:rPr>
        <w:t xml:space="preserve">货物为本次采购前原制造商制造的非淘汰类全新产品。产品无污染，无侵权行为、表面无划损、无任何缺陷隐患，在中国境内可依常规安全合法使用。货物为原厂商未启封全新包装，具出厂合格证，序列号、包装箱号与出厂批号一致，并可追索查阅。应附保修手册、有关单证资料及配备件、随机工具等，货物使用操作及安全须知等重要资料应附有中文说明。           </w:t>
      </w:r>
    </w:p>
    <w:p>
      <w:pPr>
        <w:pStyle w:val="8"/>
        <w:numPr>
          <w:ilvl w:val="0"/>
          <w:numId w:val="5"/>
        </w:numPr>
        <w:spacing w:line="360" w:lineRule="auto"/>
        <w:ind w:leftChars="0"/>
        <w:outlineLvl w:val="9"/>
        <w:rPr>
          <w:rFonts w:hint="eastAsia" w:ascii="宋体" w:hAnsi="宋体" w:cs="宋体"/>
          <w:szCs w:val="21"/>
        </w:rPr>
      </w:pPr>
      <w:r>
        <w:rPr>
          <w:rFonts w:hint="eastAsia" w:ascii="宋体" w:hAnsi="宋体" w:cs="宋体"/>
          <w:szCs w:val="21"/>
        </w:rPr>
        <w:t>供应商应保证提供的货物质量指标达到相应的国家标准，行业标准及供应商在本采购中提交并确定遵照的有关标准及技术要求。相关货物须经中国政府批准在中国境内销售，并在中国有关监督管理部门办理注册登记。相关设备须适合中国国家标准或通用国际标准，且负责将所采购的货物送至采购人指定地点，并负责货物的安装、调试等，在货物的安装、调试期间，供应商应负责安装调试人员的一切费用。</w:t>
      </w:r>
    </w:p>
    <w:p>
      <w:pPr>
        <w:pStyle w:val="8"/>
        <w:numPr>
          <w:ilvl w:val="0"/>
          <w:numId w:val="5"/>
        </w:numPr>
        <w:spacing w:line="360" w:lineRule="auto"/>
        <w:ind w:leftChars="0"/>
        <w:outlineLvl w:val="9"/>
        <w:rPr>
          <w:rFonts w:hint="eastAsia" w:ascii="宋体" w:hAnsi="宋体" w:cs="宋体"/>
          <w:szCs w:val="21"/>
        </w:rPr>
      </w:pPr>
      <w:r>
        <w:rPr>
          <w:rFonts w:hint="eastAsia" w:ascii="宋体" w:hAnsi="宋体" w:cs="宋体"/>
          <w:szCs w:val="21"/>
        </w:rPr>
        <w:t>供应商应保证所供货物是全新的、未使用过的。并且全部货物没有设计、材料或工艺上的缺陷。</w:t>
      </w:r>
    </w:p>
    <w:p>
      <w:pPr>
        <w:pStyle w:val="8"/>
        <w:numPr>
          <w:ilvl w:val="0"/>
          <w:numId w:val="5"/>
        </w:numPr>
        <w:spacing w:line="360" w:lineRule="auto"/>
        <w:ind w:leftChars="0"/>
        <w:outlineLvl w:val="9"/>
        <w:rPr>
          <w:rFonts w:hint="eastAsia" w:ascii="宋体" w:hAnsi="宋体" w:cs="宋体"/>
        </w:rPr>
      </w:pPr>
      <w:r>
        <w:rPr>
          <w:rFonts w:hint="eastAsia" w:ascii="宋体" w:hAnsi="宋体" w:cs="宋体"/>
          <w:szCs w:val="21"/>
        </w:rPr>
        <w:t>供应商应保证提供的货物不侵犯任何第三方的专利、商标或版权。否则，供应商须承担对第三方的专利或版权的侵权责任并承担因此而发生的所有费用。</w:t>
      </w:r>
    </w:p>
    <w:p>
      <w:pPr>
        <w:pStyle w:val="8"/>
        <w:numPr>
          <w:ilvl w:val="0"/>
          <w:numId w:val="5"/>
        </w:numPr>
        <w:spacing w:line="360" w:lineRule="auto"/>
        <w:ind w:leftChars="0"/>
        <w:outlineLvl w:val="9"/>
        <w:rPr>
          <w:rFonts w:hint="eastAsia" w:ascii="宋体" w:hAnsi="宋体" w:cs="宋体"/>
        </w:rPr>
      </w:pPr>
      <w:r>
        <w:rPr>
          <w:rFonts w:hint="eastAsia" w:ascii="宋体" w:hAnsi="宋体" w:cs="宋体"/>
          <w:szCs w:val="21"/>
          <w:lang w:eastAsia="zh-CN"/>
        </w:rPr>
        <w:t>成交供应商</w:t>
      </w:r>
      <w:r>
        <w:rPr>
          <w:rFonts w:hint="eastAsia" w:ascii="宋体" w:hAnsi="宋体" w:cs="宋体"/>
          <w:szCs w:val="21"/>
        </w:rPr>
        <w:t>未能按交货时间完成供货的，</w:t>
      </w:r>
      <w:r>
        <w:rPr>
          <w:rFonts w:hint="eastAsia" w:ascii="宋体" w:hAnsi="宋体" w:cs="宋体"/>
          <w:szCs w:val="21"/>
          <w:lang w:eastAsia="zh-CN"/>
        </w:rPr>
        <w:t>成交供应商</w:t>
      </w:r>
      <w:r>
        <w:rPr>
          <w:rFonts w:hint="eastAsia" w:ascii="宋体" w:hAnsi="宋体" w:cs="宋体"/>
          <w:szCs w:val="21"/>
        </w:rPr>
        <w:t>每逾期1天须支付合同总金额的3%/天的误工费。</w:t>
      </w:r>
    </w:p>
    <w:p>
      <w:pPr>
        <w:tabs>
          <w:tab w:val="left" w:pos="3210"/>
        </w:tabs>
        <w:spacing w:line="360" w:lineRule="auto"/>
        <w:outlineLvl w:val="9"/>
        <w:rPr>
          <w:rFonts w:hint="eastAsia" w:ascii="宋体" w:hAnsi="宋体" w:cs="宋体"/>
          <w:b/>
          <w:szCs w:val="21"/>
        </w:rPr>
      </w:pPr>
      <w:r>
        <w:rPr>
          <w:rFonts w:hint="eastAsia" w:ascii="宋体" w:hAnsi="宋体" w:cs="宋体"/>
          <w:b/>
          <w:szCs w:val="21"/>
        </w:rPr>
        <w:t>（二）交货要求及交货地点</w:t>
      </w:r>
    </w:p>
    <w:p>
      <w:pPr>
        <w:pStyle w:val="8"/>
        <w:numPr>
          <w:ilvl w:val="0"/>
          <w:numId w:val="6"/>
        </w:numPr>
        <w:spacing w:line="360" w:lineRule="auto"/>
        <w:ind w:leftChars="0"/>
        <w:outlineLvl w:val="9"/>
        <w:rPr>
          <w:rFonts w:hint="eastAsia" w:ascii="宋体" w:hAnsi="宋体" w:cs="宋体"/>
          <w:szCs w:val="21"/>
        </w:rPr>
      </w:pPr>
      <w:r>
        <w:rPr>
          <w:rFonts w:hint="eastAsia" w:ascii="宋体" w:hAnsi="宋体" w:cs="宋体"/>
          <w:szCs w:val="21"/>
        </w:rPr>
        <w:t>交货期：</w:t>
      </w:r>
      <w:r>
        <w:rPr>
          <w:rFonts w:hint="eastAsia" w:ascii="宋体" w:hAnsi="宋体" w:eastAsia="宋体" w:cs="宋体"/>
          <w:color w:val="auto"/>
          <w:szCs w:val="21"/>
          <w:lang w:val="en-US" w:eastAsia="zh-CN"/>
        </w:rPr>
        <w:t>2022年12月10日前完成</w:t>
      </w:r>
      <w:r>
        <w:rPr>
          <w:rFonts w:hint="eastAsia" w:ascii="宋体" w:hAnsi="宋体" w:cs="宋体"/>
          <w:szCs w:val="21"/>
        </w:rPr>
        <w:t>（包括供货、安装、调试、验收工作）。</w:t>
      </w:r>
    </w:p>
    <w:p>
      <w:pPr>
        <w:pStyle w:val="8"/>
        <w:numPr>
          <w:ilvl w:val="0"/>
          <w:numId w:val="6"/>
        </w:numPr>
        <w:spacing w:line="360" w:lineRule="auto"/>
        <w:ind w:leftChars="0"/>
        <w:outlineLvl w:val="9"/>
        <w:rPr>
          <w:rFonts w:hint="eastAsia" w:ascii="宋体" w:hAnsi="宋体" w:cs="宋体"/>
          <w:szCs w:val="21"/>
        </w:rPr>
      </w:pPr>
      <w:r>
        <w:rPr>
          <w:rFonts w:hint="eastAsia" w:ascii="宋体" w:hAnsi="宋体" w:cs="宋体"/>
          <w:szCs w:val="21"/>
        </w:rPr>
        <w:t>交货地点：</w:t>
      </w:r>
      <w:r>
        <w:rPr>
          <w:rFonts w:hint="eastAsia" w:ascii="宋体" w:hAnsi="宋体" w:eastAsia="宋体" w:cs="宋体"/>
          <w:color w:val="auto"/>
          <w:sz w:val="21"/>
          <w:szCs w:val="21"/>
          <w:lang w:eastAsia="zh-CN"/>
        </w:rPr>
        <w:t>乐昌市消防救援大队</w:t>
      </w:r>
      <w:r>
        <w:rPr>
          <w:rFonts w:hint="eastAsia" w:ascii="宋体" w:hAnsi="宋体" w:eastAsia="宋体" w:cs="宋体"/>
          <w:color w:val="auto"/>
          <w:sz w:val="21"/>
          <w:szCs w:val="21"/>
          <w:lang w:val="en-US" w:eastAsia="zh-CN"/>
        </w:rPr>
        <w:t>或采购人指定地点</w:t>
      </w:r>
    </w:p>
    <w:p>
      <w:pPr>
        <w:pStyle w:val="8"/>
        <w:numPr>
          <w:ilvl w:val="0"/>
          <w:numId w:val="6"/>
        </w:numPr>
        <w:spacing w:line="360" w:lineRule="auto"/>
        <w:ind w:leftChars="0"/>
        <w:outlineLvl w:val="9"/>
        <w:rPr>
          <w:rFonts w:hint="eastAsia" w:ascii="宋体" w:hAnsi="宋体" w:cs="宋体"/>
          <w:szCs w:val="21"/>
        </w:rPr>
      </w:pPr>
      <w:r>
        <w:rPr>
          <w:rFonts w:hint="eastAsia" w:ascii="宋体" w:hAnsi="宋体" w:cs="宋体"/>
          <w:szCs w:val="21"/>
        </w:rPr>
        <w:t>货物到达采购人指定地点后，采购人有权委托相关质检单位对其进行抽样检测，抽样检测费用由成交供应商承担。</w:t>
      </w:r>
    </w:p>
    <w:p>
      <w:pPr>
        <w:pStyle w:val="8"/>
        <w:numPr>
          <w:ilvl w:val="0"/>
          <w:numId w:val="6"/>
        </w:numPr>
        <w:spacing w:line="360" w:lineRule="auto"/>
        <w:ind w:leftChars="0"/>
        <w:outlineLvl w:val="9"/>
        <w:rPr>
          <w:rFonts w:hint="eastAsia" w:ascii="宋体" w:hAnsi="宋体" w:cs="宋体"/>
          <w:szCs w:val="21"/>
        </w:rPr>
      </w:pPr>
      <w:r>
        <w:rPr>
          <w:rFonts w:hint="eastAsia" w:ascii="宋体" w:hAnsi="宋体" w:cs="宋体"/>
          <w:szCs w:val="21"/>
        </w:rPr>
        <w:t>供应商必须拟定项目进度安排计划，并按照进度安排计划派出适当的技术人员到安装现场负责免费安装和调试工作。在安装施工期间，严格遵守采购人的有关制度。</w:t>
      </w:r>
    </w:p>
    <w:p>
      <w:pPr>
        <w:pStyle w:val="8"/>
        <w:numPr>
          <w:ilvl w:val="0"/>
          <w:numId w:val="6"/>
        </w:numPr>
        <w:spacing w:line="360" w:lineRule="auto"/>
        <w:ind w:leftChars="0"/>
        <w:outlineLvl w:val="9"/>
        <w:rPr>
          <w:rFonts w:hint="eastAsia" w:ascii="宋体" w:hAnsi="宋体" w:cs="宋体"/>
          <w:szCs w:val="21"/>
        </w:rPr>
      </w:pPr>
      <w:r>
        <w:rPr>
          <w:rFonts w:hint="eastAsia" w:ascii="宋体" w:hAnsi="宋体" w:cs="宋体"/>
          <w:szCs w:val="21"/>
        </w:rPr>
        <w:t>安装施工期间需做到安全文明施工，不损坏采购人的设备设施，否则原价赔偿。</w:t>
      </w:r>
    </w:p>
    <w:p>
      <w:pPr>
        <w:pStyle w:val="8"/>
        <w:spacing w:line="360" w:lineRule="auto"/>
        <w:ind w:left="0" w:leftChars="0"/>
        <w:outlineLvl w:val="9"/>
        <w:rPr>
          <w:rFonts w:hint="eastAsia" w:ascii="宋体" w:hAnsi="宋体" w:cs="宋体"/>
          <w:b/>
          <w:szCs w:val="21"/>
        </w:rPr>
      </w:pPr>
      <w:r>
        <w:rPr>
          <w:rFonts w:hint="eastAsia" w:ascii="宋体" w:hAnsi="宋体" w:cs="宋体"/>
          <w:b/>
          <w:szCs w:val="21"/>
        </w:rPr>
        <w:t>（三）售后服务要求</w:t>
      </w:r>
    </w:p>
    <w:p>
      <w:pPr>
        <w:numPr>
          <w:ilvl w:val="0"/>
          <w:numId w:val="7"/>
        </w:numPr>
        <w:spacing w:line="360" w:lineRule="auto"/>
        <w:jc w:val="left"/>
        <w:outlineLvl w:val="9"/>
        <w:rPr>
          <w:rFonts w:hint="eastAsia" w:ascii="宋体" w:hAnsi="宋体" w:cs="宋体"/>
          <w:szCs w:val="21"/>
        </w:rPr>
      </w:pPr>
      <w:r>
        <w:rPr>
          <w:rFonts w:hint="eastAsia" w:ascii="宋体" w:hAnsi="宋体" w:cs="宋体"/>
          <w:szCs w:val="21"/>
        </w:rPr>
        <w:t>质保期为1年，自货物交付之日起计算。质保期内</w:t>
      </w:r>
      <w:r>
        <w:rPr>
          <w:rFonts w:hint="eastAsia" w:ascii="宋体" w:hAnsi="宋体" w:cs="宋体"/>
          <w:szCs w:val="21"/>
          <w:lang w:eastAsia="zh-CN"/>
        </w:rPr>
        <w:t>成交供应商</w:t>
      </w:r>
      <w:r>
        <w:rPr>
          <w:rFonts w:hint="eastAsia" w:ascii="宋体" w:hAnsi="宋体" w:cs="宋体"/>
          <w:szCs w:val="21"/>
        </w:rPr>
        <w:t>对所供货物实行包修、包换、包退、包维护保养；质保期过后，</w:t>
      </w:r>
      <w:r>
        <w:rPr>
          <w:rFonts w:hint="eastAsia" w:ascii="宋体" w:hAnsi="宋体" w:cs="宋体"/>
          <w:szCs w:val="21"/>
          <w:lang w:eastAsia="zh-CN"/>
        </w:rPr>
        <w:t>成交供应商</w:t>
      </w:r>
      <w:r>
        <w:rPr>
          <w:rFonts w:hint="eastAsia" w:ascii="宋体" w:hAnsi="宋体" w:cs="宋体"/>
          <w:szCs w:val="21"/>
        </w:rPr>
        <w:t xml:space="preserve">需以成本价提供维修所需的零、部件。 </w:t>
      </w:r>
    </w:p>
    <w:p>
      <w:pPr>
        <w:numPr>
          <w:ilvl w:val="0"/>
          <w:numId w:val="7"/>
        </w:numPr>
        <w:spacing w:line="360" w:lineRule="auto"/>
        <w:jc w:val="left"/>
        <w:outlineLvl w:val="9"/>
        <w:rPr>
          <w:rFonts w:hint="eastAsia" w:ascii="宋体" w:hAnsi="宋体" w:cs="宋体"/>
          <w:szCs w:val="21"/>
        </w:rPr>
      </w:pPr>
      <w:r>
        <w:rPr>
          <w:rFonts w:hint="eastAsia" w:ascii="宋体" w:hAnsi="宋体" w:cs="宋体"/>
          <w:szCs w:val="21"/>
        </w:rPr>
        <w:t>质保期内，如设备或零部件因非人为因素出现故障而造成短期停用时，则质保期和免费维修期相应顺延。如停用时间累计超过60天则质保期重新计算。</w:t>
      </w:r>
    </w:p>
    <w:p>
      <w:pPr>
        <w:numPr>
          <w:ilvl w:val="0"/>
          <w:numId w:val="7"/>
        </w:numPr>
        <w:spacing w:line="360" w:lineRule="auto"/>
        <w:jc w:val="left"/>
        <w:outlineLvl w:val="9"/>
        <w:rPr>
          <w:rFonts w:hint="eastAsia" w:ascii="宋体" w:hAnsi="宋体" w:cs="宋体"/>
          <w:szCs w:val="21"/>
        </w:rPr>
      </w:pPr>
      <w:r>
        <w:rPr>
          <w:rFonts w:hint="eastAsia" w:ascii="宋体" w:hAnsi="宋体" w:cs="宋体"/>
          <w:szCs w:val="21"/>
        </w:rPr>
        <w:t>对采购人的服务通知，</w:t>
      </w:r>
      <w:r>
        <w:rPr>
          <w:rFonts w:hint="eastAsia" w:ascii="宋体" w:hAnsi="宋体" w:cs="宋体"/>
          <w:szCs w:val="21"/>
          <w:lang w:eastAsia="zh-CN"/>
        </w:rPr>
        <w:t>成交供应商</w:t>
      </w:r>
      <w:r>
        <w:rPr>
          <w:rFonts w:hint="eastAsia" w:ascii="宋体" w:hAnsi="宋体" w:cs="宋体"/>
          <w:szCs w:val="21"/>
        </w:rPr>
        <w:t>在接报后2小时内响应，5小时内到达现场，12小时内处理完毕。若在48小时内仍未能有效解决，</w:t>
      </w:r>
      <w:r>
        <w:rPr>
          <w:rFonts w:hint="eastAsia" w:ascii="宋体" w:hAnsi="宋体" w:cs="宋体"/>
          <w:szCs w:val="21"/>
          <w:lang w:eastAsia="zh-CN"/>
        </w:rPr>
        <w:t>成交供应商</w:t>
      </w:r>
      <w:r>
        <w:rPr>
          <w:rFonts w:hint="eastAsia" w:ascii="宋体" w:hAnsi="宋体" w:cs="宋体"/>
          <w:szCs w:val="21"/>
        </w:rPr>
        <w:t>须免费提供同档次的设备予采购人临时使用。</w:t>
      </w:r>
    </w:p>
    <w:p>
      <w:pPr>
        <w:pStyle w:val="8"/>
        <w:spacing w:line="360" w:lineRule="auto"/>
        <w:ind w:left="0" w:leftChars="0"/>
        <w:outlineLvl w:val="9"/>
        <w:rPr>
          <w:rFonts w:hint="eastAsia" w:ascii="宋体" w:hAnsi="宋体" w:cs="宋体"/>
          <w:b/>
          <w:szCs w:val="21"/>
        </w:rPr>
      </w:pPr>
      <w:r>
        <w:rPr>
          <w:rFonts w:hint="eastAsia" w:ascii="宋体" w:hAnsi="宋体" w:cs="宋体"/>
          <w:b/>
          <w:szCs w:val="21"/>
        </w:rPr>
        <w:t>（四）验收要求</w:t>
      </w:r>
    </w:p>
    <w:p>
      <w:pPr>
        <w:numPr>
          <w:ilvl w:val="0"/>
          <w:numId w:val="8"/>
        </w:numPr>
        <w:spacing w:line="360" w:lineRule="auto"/>
        <w:jc w:val="left"/>
        <w:outlineLvl w:val="9"/>
        <w:rPr>
          <w:rFonts w:hint="eastAsia" w:ascii="宋体" w:hAnsi="宋体" w:cs="宋体"/>
          <w:szCs w:val="21"/>
        </w:rPr>
      </w:pPr>
      <w:r>
        <w:rPr>
          <w:rFonts w:hint="eastAsia" w:ascii="宋体" w:hAnsi="宋体" w:cs="宋体"/>
          <w:szCs w:val="21"/>
        </w:rPr>
        <w:t>交货后，在</w:t>
      </w:r>
      <w:r>
        <w:rPr>
          <w:rFonts w:hint="eastAsia" w:ascii="宋体" w:hAnsi="宋体" w:cs="宋体"/>
          <w:szCs w:val="21"/>
          <w:lang w:val="en-US" w:eastAsia="zh-CN"/>
        </w:rPr>
        <w:t>3</w:t>
      </w:r>
      <w:r>
        <w:rPr>
          <w:rFonts w:hint="eastAsia" w:ascii="宋体" w:hAnsi="宋体" w:cs="宋体"/>
          <w:szCs w:val="21"/>
        </w:rPr>
        <w:t>个工作日内开展验收工作；验收合格的，双方在验收书上签名。</w:t>
      </w:r>
    </w:p>
    <w:p>
      <w:pPr>
        <w:numPr>
          <w:ilvl w:val="0"/>
          <w:numId w:val="8"/>
        </w:numPr>
        <w:spacing w:line="360" w:lineRule="auto"/>
        <w:jc w:val="left"/>
        <w:outlineLvl w:val="9"/>
        <w:rPr>
          <w:rFonts w:hint="eastAsia" w:ascii="宋体" w:hAnsi="宋体" w:cs="宋体"/>
          <w:szCs w:val="21"/>
        </w:rPr>
      </w:pPr>
      <w:r>
        <w:rPr>
          <w:rFonts w:hint="eastAsia" w:ascii="宋体" w:hAnsi="宋体" w:cs="宋体"/>
          <w:szCs w:val="21"/>
        </w:rPr>
        <w:t>双方对质量有争议，如需将设备送至具有资质的质量检测机构检测的，若检测结果合格，检测费用由采购人支付；若检测结果不合格，则检测费用由</w:t>
      </w:r>
      <w:r>
        <w:rPr>
          <w:rFonts w:hint="eastAsia" w:ascii="宋体" w:hAnsi="宋体" w:cs="宋体"/>
          <w:szCs w:val="21"/>
          <w:lang w:eastAsia="zh-CN"/>
        </w:rPr>
        <w:t>成交供应商</w:t>
      </w:r>
      <w:r>
        <w:rPr>
          <w:rFonts w:hint="eastAsia" w:ascii="宋体" w:hAnsi="宋体" w:cs="宋体"/>
          <w:szCs w:val="21"/>
        </w:rPr>
        <w:t>支付。</w:t>
      </w:r>
    </w:p>
    <w:p>
      <w:pPr>
        <w:numPr>
          <w:ilvl w:val="0"/>
          <w:numId w:val="8"/>
        </w:numPr>
        <w:spacing w:line="360" w:lineRule="auto"/>
        <w:jc w:val="left"/>
        <w:outlineLvl w:val="9"/>
        <w:rPr>
          <w:rFonts w:hint="eastAsia" w:ascii="宋体" w:hAnsi="宋体" w:cs="宋体"/>
          <w:szCs w:val="21"/>
        </w:rPr>
      </w:pPr>
      <w:r>
        <w:rPr>
          <w:rFonts w:hint="eastAsia" w:ascii="宋体" w:hAnsi="宋体" w:cs="宋体"/>
          <w:szCs w:val="21"/>
        </w:rPr>
        <w:t>设备调试验收完毕后，</w:t>
      </w:r>
      <w:r>
        <w:rPr>
          <w:rFonts w:hint="eastAsia" w:ascii="宋体" w:hAnsi="宋体" w:cs="宋体"/>
          <w:szCs w:val="21"/>
          <w:lang w:eastAsia="zh-CN"/>
        </w:rPr>
        <w:t>成交供应商</w:t>
      </w:r>
      <w:r>
        <w:rPr>
          <w:rFonts w:hint="eastAsia" w:ascii="宋体" w:hAnsi="宋体" w:cs="宋体"/>
          <w:szCs w:val="21"/>
        </w:rPr>
        <w:t>需对采购单位适用人员进行设备操作的培训</w:t>
      </w:r>
    </w:p>
    <w:p>
      <w:pPr>
        <w:numPr>
          <w:ilvl w:val="0"/>
          <w:numId w:val="8"/>
        </w:numPr>
        <w:spacing w:line="360" w:lineRule="auto"/>
        <w:jc w:val="left"/>
        <w:outlineLvl w:val="9"/>
        <w:rPr>
          <w:rFonts w:hint="eastAsia" w:ascii="宋体" w:hAnsi="宋体" w:cs="宋体"/>
          <w:szCs w:val="21"/>
        </w:rPr>
      </w:pPr>
      <w:r>
        <w:rPr>
          <w:rFonts w:hint="eastAsia" w:ascii="宋体" w:hAnsi="宋体" w:cs="宋体"/>
          <w:szCs w:val="21"/>
          <w:lang w:eastAsia="zh-CN"/>
        </w:rPr>
        <w:t>成交供应商</w:t>
      </w:r>
      <w:r>
        <w:rPr>
          <w:rFonts w:hint="eastAsia" w:ascii="宋体" w:hAnsi="宋体" w:cs="宋体"/>
          <w:szCs w:val="21"/>
        </w:rPr>
        <w:t>必须到项目现场免费提供设备使用及维护保养培训，直至采购人相关技术人员熟练掌握为止。</w:t>
      </w:r>
    </w:p>
    <w:p>
      <w:pPr>
        <w:widowControl/>
        <w:spacing w:line="360" w:lineRule="auto"/>
        <w:jc w:val="left"/>
        <w:outlineLvl w:val="9"/>
        <w:rPr>
          <w:rFonts w:hint="eastAsia" w:ascii="宋体" w:hAnsi="宋体" w:cs="宋体"/>
          <w:b/>
          <w:bCs/>
          <w:kern w:val="0"/>
          <w:szCs w:val="21"/>
          <w:lang w:bidi="ar"/>
        </w:rPr>
      </w:pPr>
      <w:r>
        <w:rPr>
          <w:rFonts w:hint="eastAsia" w:ascii="宋体" w:hAnsi="宋体" w:cs="宋体"/>
          <w:b/>
          <w:bCs/>
          <w:kern w:val="0"/>
          <w:szCs w:val="21"/>
          <w:lang w:bidi="ar"/>
        </w:rPr>
        <w:t>（五）付款方式和条件</w:t>
      </w:r>
    </w:p>
    <w:p>
      <w:pPr>
        <w:numPr>
          <w:ilvl w:val="0"/>
          <w:numId w:val="9"/>
        </w:numPr>
        <w:spacing w:line="360" w:lineRule="auto"/>
        <w:outlineLvl w:val="9"/>
        <w:rPr>
          <w:rFonts w:hint="eastAsia" w:ascii="宋体" w:hAnsi="宋体" w:cs="宋体"/>
        </w:rPr>
      </w:pPr>
      <w:r>
        <w:rPr>
          <w:rFonts w:hint="eastAsia" w:ascii="宋体" w:hAnsi="宋体" w:cs="宋体"/>
        </w:rPr>
        <w:t>第一期付款：合同签订后，</w:t>
      </w:r>
      <w:r>
        <w:rPr>
          <w:rFonts w:hint="eastAsia" w:ascii="宋体" w:hAnsi="宋体" w:cs="宋体"/>
          <w:lang w:val="en-US" w:eastAsia="zh-CN"/>
        </w:rPr>
        <w:t>采购人5个工作日内</w:t>
      </w:r>
      <w:r>
        <w:rPr>
          <w:rFonts w:hint="eastAsia" w:ascii="宋体" w:hAnsi="宋体" w:cs="宋体"/>
        </w:rPr>
        <w:t>支付</w:t>
      </w:r>
      <w:r>
        <w:rPr>
          <w:rFonts w:hint="eastAsia" w:ascii="宋体" w:hAnsi="宋体" w:cs="宋体"/>
          <w:lang w:val="en-US" w:eastAsia="zh-CN"/>
        </w:rPr>
        <w:t>成交供应商</w:t>
      </w:r>
      <w:r>
        <w:rPr>
          <w:rFonts w:hint="eastAsia" w:ascii="宋体" w:hAnsi="宋体" w:cs="宋体"/>
        </w:rPr>
        <w:t>合同总价的30%</w:t>
      </w:r>
      <w:r>
        <w:rPr>
          <w:rFonts w:hint="eastAsia" w:ascii="宋体" w:hAnsi="宋体" w:cs="宋体"/>
          <w:lang w:val="en-US" w:eastAsia="zh-CN"/>
        </w:rPr>
        <w:t>作为预付款</w:t>
      </w:r>
      <w:r>
        <w:rPr>
          <w:rFonts w:hint="eastAsia" w:ascii="宋体" w:hAnsi="宋体" w:cs="宋体"/>
        </w:rPr>
        <w:t>；</w:t>
      </w:r>
    </w:p>
    <w:p>
      <w:pPr>
        <w:numPr>
          <w:ilvl w:val="0"/>
          <w:numId w:val="9"/>
        </w:numPr>
        <w:spacing w:line="360" w:lineRule="auto"/>
        <w:outlineLvl w:val="9"/>
        <w:rPr>
          <w:rFonts w:hint="eastAsia" w:ascii="宋体" w:hAnsi="宋体" w:cs="宋体"/>
        </w:rPr>
      </w:pPr>
      <w:r>
        <w:rPr>
          <w:rFonts w:hint="eastAsia" w:ascii="宋体" w:hAnsi="宋体" w:cs="宋体"/>
        </w:rPr>
        <w:t>第二期付款：</w:t>
      </w:r>
      <w:r>
        <w:rPr>
          <w:rFonts w:hint="eastAsia" w:ascii="宋体" w:hAnsi="宋体" w:cs="宋体"/>
          <w:lang w:val="en-US" w:eastAsia="zh-CN"/>
        </w:rPr>
        <w:t>器材</w:t>
      </w:r>
      <w:r>
        <w:rPr>
          <w:rFonts w:hint="eastAsia" w:ascii="宋体" w:hAnsi="宋体" w:cs="宋体"/>
        </w:rPr>
        <w:t>交货后，</w:t>
      </w:r>
      <w:r>
        <w:rPr>
          <w:rFonts w:hint="eastAsia" w:ascii="宋体" w:hAnsi="宋体" w:cs="宋体"/>
          <w:lang w:val="en-US" w:eastAsia="zh-CN"/>
        </w:rPr>
        <w:t>采购人5个工作日内</w:t>
      </w:r>
      <w:r>
        <w:rPr>
          <w:rFonts w:hint="eastAsia" w:ascii="宋体" w:hAnsi="宋体" w:cs="宋体"/>
        </w:rPr>
        <w:t>支付</w:t>
      </w:r>
      <w:r>
        <w:rPr>
          <w:rFonts w:hint="eastAsia" w:ascii="宋体" w:hAnsi="宋体" w:cs="宋体"/>
          <w:lang w:val="en-US" w:eastAsia="zh-CN"/>
        </w:rPr>
        <w:t>成交供应商</w:t>
      </w:r>
      <w:r>
        <w:rPr>
          <w:rFonts w:hint="eastAsia" w:ascii="宋体" w:hAnsi="宋体" w:cs="宋体"/>
        </w:rPr>
        <w:t>合同总价的50%；</w:t>
      </w:r>
    </w:p>
    <w:p>
      <w:pPr>
        <w:numPr>
          <w:ilvl w:val="0"/>
          <w:numId w:val="9"/>
        </w:numPr>
        <w:spacing w:line="360" w:lineRule="auto"/>
        <w:outlineLvl w:val="9"/>
        <w:rPr>
          <w:rFonts w:hint="eastAsia" w:ascii="宋体" w:hAnsi="宋体" w:cs="宋体"/>
        </w:rPr>
      </w:pPr>
      <w:r>
        <w:rPr>
          <w:rFonts w:hint="eastAsia" w:ascii="宋体" w:hAnsi="宋体" w:cs="宋体"/>
        </w:rPr>
        <w:t>第三期付款：验收合格后，</w:t>
      </w:r>
      <w:r>
        <w:rPr>
          <w:rFonts w:hint="eastAsia" w:ascii="宋体" w:hAnsi="宋体" w:cs="宋体"/>
          <w:lang w:val="en-US" w:eastAsia="zh-CN"/>
        </w:rPr>
        <w:t>采购人5个工作日内</w:t>
      </w:r>
      <w:r>
        <w:rPr>
          <w:rFonts w:hint="eastAsia" w:ascii="宋体" w:hAnsi="宋体" w:cs="宋体"/>
        </w:rPr>
        <w:t>支付</w:t>
      </w:r>
      <w:r>
        <w:rPr>
          <w:rFonts w:hint="eastAsia" w:ascii="宋体" w:hAnsi="宋体" w:cs="宋体"/>
          <w:lang w:val="en-US" w:eastAsia="zh-CN"/>
        </w:rPr>
        <w:t>成交供应商</w:t>
      </w:r>
      <w:r>
        <w:rPr>
          <w:rFonts w:hint="eastAsia" w:ascii="宋体" w:hAnsi="宋体" w:cs="宋体"/>
        </w:rPr>
        <w:t>合同总价的20%。</w:t>
      </w:r>
    </w:p>
    <w:p>
      <w:pPr>
        <w:spacing w:line="360" w:lineRule="auto"/>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注：</w:t>
      </w:r>
      <w:r>
        <w:rPr>
          <w:rFonts w:hint="eastAsia" w:ascii="宋体" w:hAnsi="宋体" w:eastAsia="宋体" w:cs="宋体"/>
          <w:color w:val="auto"/>
          <w:kern w:val="0"/>
          <w:sz w:val="21"/>
          <w:szCs w:val="21"/>
          <w:lang w:val="en-US" w:eastAsia="zh-CN" w:bidi="ar"/>
        </w:rPr>
        <w:t xml:space="preserve">采取银行转账方式支付。付款前成交供应商须先提供同额有效税务发票给采购人后再付款，本合同价款包含税款； </w:t>
      </w:r>
    </w:p>
    <w:p>
      <w:pPr>
        <w:outlineLvl w:val="9"/>
        <w:rPr>
          <w:color w:val="auto"/>
        </w:rPr>
      </w:pPr>
    </w:p>
    <w:p>
      <w:pPr>
        <w:outlineLvl w:val="9"/>
        <w:rPr>
          <w:color w:val="auto"/>
        </w:rPr>
      </w:pPr>
    </w:p>
    <w:p>
      <w:pPr>
        <w:pStyle w:val="53"/>
        <w:snapToGrid w:val="0"/>
        <w:outlineLvl w:val="9"/>
        <w:rPr>
          <w:rFonts w:hint="eastAsia" w:cs="宋体"/>
          <w:color w:val="auto"/>
          <w:szCs w:val="21"/>
          <w:lang w:val="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11"/>
                      <w:rPr>
                        <w:rFonts w:hint="eastAsia"/>
                      </w:rPr>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A7B52"/>
    <w:multiLevelType w:val="singleLevel"/>
    <w:tmpl w:val="AC1A7B52"/>
    <w:lvl w:ilvl="0" w:tentative="0">
      <w:start w:val="1"/>
      <w:numFmt w:val="decimal"/>
      <w:lvlText w:val="%1."/>
      <w:lvlJc w:val="left"/>
      <w:pPr>
        <w:ind w:left="425" w:hanging="425"/>
      </w:pPr>
      <w:rPr>
        <w:rFonts w:hint="default"/>
      </w:rPr>
    </w:lvl>
  </w:abstractNum>
  <w:abstractNum w:abstractNumId="1">
    <w:nsid w:val="B433D8D2"/>
    <w:multiLevelType w:val="singleLevel"/>
    <w:tmpl w:val="B433D8D2"/>
    <w:lvl w:ilvl="0" w:tentative="0">
      <w:start w:val="1"/>
      <w:numFmt w:val="decimal"/>
      <w:lvlText w:val="%1."/>
      <w:lvlJc w:val="left"/>
      <w:pPr>
        <w:ind w:left="425" w:hanging="425"/>
      </w:pPr>
      <w:rPr>
        <w:rFonts w:hint="default"/>
      </w:rPr>
    </w:lvl>
  </w:abstractNum>
  <w:abstractNum w:abstractNumId="2">
    <w:nsid w:val="00000008"/>
    <w:multiLevelType w:val="multilevel"/>
    <w:tmpl w:val="00000008"/>
    <w:lvl w:ilvl="0" w:tentative="0">
      <w:start w:val="1"/>
      <w:numFmt w:val="decimal"/>
      <w:pStyle w:val="52"/>
      <w:lvlText w:val="第%1章"/>
      <w:lvlJc w:val="left"/>
      <w:pPr>
        <w:ind w:left="432" w:hanging="432"/>
      </w:pPr>
      <w:rPr>
        <w:rFonts w:hint="eastAsia"/>
        <w:lang w:val="en-US"/>
      </w:rPr>
    </w:lvl>
    <w:lvl w:ilvl="1" w:tentative="0">
      <w:start w:val="1"/>
      <w:numFmt w:val="decimal"/>
      <w:lvlText w:val="%1.%2"/>
      <w:lvlJc w:val="left"/>
      <w:pPr>
        <w:ind w:left="576" w:hanging="576"/>
      </w:pPr>
      <w:rPr>
        <w:rFonts w:hint="eastAsia"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ind w:left="720" w:hanging="720"/>
      </w:pPr>
      <w:rPr>
        <w:rFonts w:hint="eastAsia"/>
        <w:b w:val="0"/>
        <w:bCs w:val="0"/>
        <w:i w:val="0"/>
        <w:iCs w:val="0"/>
        <w:caps w:val="0"/>
        <w:smallCaps w:val="0"/>
        <w:strike w:val="0"/>
        <w:dstrike w:val="0"/>
        <w:vanish w:val="0"/>
        <w:color w:val="000000"/>
        <w:spacing w:val="0"/>
        <w:position w:val="0"/>
        <w:sz w:val="32"/>
        <w:szCs w:val="32"/>
        <w:u w:val="none"/>
        <w:vertAlign w:val="baseline"/>
      </w:rPr>
    </w:lvl>
    <w:lvl w:ilvl="3" w:tentative="0">
      <w:start w:val="1"/>
      <w:numFmt w:val="decimal"/>
      <w:lvlText w:val="%1.%2.%3.%4"/>
      <w:lvlJc w:val="left"/>
      <w:pPr>
        <w:ind w:left="864" w:hanging="864"/>
      </w:pPr>
      <w:rPr>
        <w:rFonts w:hint="eastAsia"/>
        <w:sz w:val="28"/>
        <w:szCs w:val="28"/>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00000009"/>
    <w:multiLevelType w:val="multilevel"/>
    <w:tmpl w:val="00000009"/>
    <w:lvl w:ilvl="0" w:tentative="0">
      <w:start w:val="0"/>
      <w:numFmt w:val="decimal"/>
      <w:lvlText w:val=""/>
      <w:lvlJc w:val="left"/>
    </w:lvl>
    <w:lvl w:ilvl="1" w:tentative="0">
      <w:start w:val="0"/>
      <w:numFmt w:val="decimal"/>
      <w:lvlText w:val=""/>
      <w:lvlJc w:val="left"/>
    </w:lvl>
    <w:lvl w:ilvl="2" w:tentative="0">
      <w:start w:val="0"/>
      <w:numFmt w:val="decimal"/>
      <w:pStyle w:val="40"/>
      <w:lvlText w:val=""/>
      <w:lvlJc w:val="left"/>
    </w:lvl>
    <w:lvl w:ilvl="3" w:tentative="0">
      <w:start w:val="0"/>
      <w:numFmt w:val="decimal"/>
      <w:pStyle w:val="33"/>
      <w:lvlText w:val=""/>
      <w:lvlJc w:val="left"/>
    </w:lvl>
    <w:lvl w:ilvl="4" w:tentative="0">
      <w:start w:val="0"/>
      <w:numFmt w:val="decimal"/>
      <w:pStyle w:val="47"/>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1DB109E"/>
    <w:multiLevelType w:val="singleLevel"/>
    <w:tmpl w:val="21DB109E"/>
    <w:lvl w:ilvl="0" w:tentative="0">
      <w:start w:val="1"/>
      <w:numFmt w:val="decimal"/>
      <w:lvlText w:val="%1."/>
      <w:lvlJc w:val="left"/>
      <w:pPr>
        <w:ind w:left="425" w:hanging="425"/>
      </w:pPr>
      <w:rPr>
        <w:rFonts w:hint="default"/>
      </w:rPr>
    </w:lvl>
  </w:abstractNum>
  <w:abstractNum w:abstractNumId="5">
    <w:nsid w:val="2C41B0EA"/>
    <w:multiLevelType w:val="singleLevel"/>
    <w:tmpl w:val="2C41B0EA"/>
    <w:lvl w:ilvl="0" w:tentative="0">
      <w:start w:val="1"/>
      <w:numFmt w:val="decimal"/>
      <w:lvlText w:val="%1."/>
      <w:lvlJc w:val="left"/>
      <w:pPr>
        <w:ind w:left="425" w:hanging="425"/>
      </w:pPr>
      <w:rPr>
        <w:rFonts w:hint="default"/>
      </w:rPr>
    </w:lvl>
  </w:abstractNum>
  <w:abstractNum w:abstractNumId="6">
    <w:nsid w:val="55FCA14B"/>
    <w:multiLevelType w:val="singleLevel"/>
    <w:tmpl w:val="55FCA14B"/>
    <w:lvl w:ilvl="0" w:tentative="0">
      <w:start w:val="1"/>
      <w:numFmt w:val="decimal"/>
      <w:lvlText w:val="%1."/>
      <w:lvlJc w:val="left"/>
      <w:pPr>
        <w:ind w:left="425" w:hanging="425"/>
      </w:pPr>
      <w:rPr>
        <w:rFonts w:hint="default"/>
      </w:rPr>
    </w:lvl>
  </w:abstractNum>
  <w:abstractNum w:abstractNumId="7">
    <w:nsid w:val="5A3867F4"/>
    <w:multiLevelType w:val="singleLevel"/>
    <w:tmpl w:val="5A3867F4"/>
    <w:lvl w:ilvl="0" w:tentative="0">
      <w:start w:val="1"/>
      <w:numFmt w:val="decimal"/>
      <w:lvlText w:val="%1."/>
      <w:lvlJc w:val="left"/>
      <w:pPr>
        <w:ind w:left="425" w:hanging="425"/>
      </w:pPr>
      <w:rPr>
        <w:rFonts w:hint="default"/>
      </w:rPr>
    </w:lvl>
  </w:abstractNum>
  <w:abstractNum w:abstractNumId="8">
    <w:nsid w:val="61CD057E"/>
    <w:multiLevelType w:val="singleLevel"/>
    <w:tmpl w:val="61CD057E"/>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7"/>
  </w:num>
  <w:num w:numId="4">
    <w:abstractNumId w:val="1"/>
  </w:num>
  <w:num w:numId="5">
    <w:abstractNumId w:val="4"/>
  </w:num>
  <w:num w:numId="6">
    <w:abstractNumId w:val="6"/>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4MjViNTdiMTdlMzE3ODU5NGNkMGE5ZjI2YmZmYjQifQ=="/>
  </w:docVars>
  <w:rsids>
    <w:rsidRoot w:val="00172A27"/>
    <w:rsid w:val="001507F6"/>
    <w:rsid w:val="004146AC"/>
    <w:rsid w:val="004753AE"/>
    <w:rsid w:val="0100762A"/>
    <w:rsid w:val="02192F21"/>
    <w:rsid w:val="0262630A"/>
    <w:rsid w:val="03740F86"/>
    <w:rsid w:val="05045654"/>
    <w:rsid w:val="06D62F61"/>
    <w:rsid w:val="08205183"/>
    <w:rsid w:val="0B1C3122"/>
    <w:rsid w:val="0B363E81"/>
    <w:rsid w:val="0CE912A0"/>
    <w:rsid w:val="0DAF68A1"/>
    <w:rsid w:val="0E2210D9"/>
    <w:rsid w:val="101324B8"/>
    <w:rsid w:val="1025693D"/>
    <w:rsid w:val="131137B1"/>
    <w:rsid w:val="138844EE"/>
    <w:rsid w:val="14080FA5"/>
    <w:rsid w:val="14B722C1"/>
    <w:rsid w:val="167341C6"/>
    <w:rsid w:val="1768018E"/>
    <w:rsid w:val="1B7F12AF"/>
    <w:rsid w:val="1C5D5C5E"/>
    <w:rsid w:val="2092414C"/>
    <w:rsid w:val="20D0284B"/>
    <w:rsid w:val="218B2DF5"/>
    <w:rsid w:val="21A219B4"/>
    <w:rsid w:val="21D95EBF"/>
    <w:rsid w:val="22344D75"/>
    <w:rsid w:val="248F6BD1"/>
    <w:rsid w:val="25081E51"/>
    <w:rsid w:val="26987896"/>
    <w:rsid w:val="28D9666D"/>
    <w:rsid w:val="2A7B44E0"/>
    <w:rsid w:val="2B220B4B"/>
    <w:rsid w:val="2B4502A7"/>
    <w:rsid w:val="2BDB086E"/>
    <w:rsid w:val="2C19680D"/>
    <w:rsid w:val="2CC67354"/>
    <w:rsid w:val="2CD87FC1"/>
    <w:rsid w:val="2EDD6736"/>
    <w:rsid w:val="2F9F55D3"/>
    <w:rsid w:val="2FF803CE"/>
    <w:rsid w:val="3112776E"/>
    <w:rsid w:val="31307046"/>
    <w:rsid w:val="31B002ED"/>
    <w:rsid w:val="31F024B7"/>
    <w:rsid w:val="320954FC"/>
    <w:rsid w:val="32F83649"/>
    <w:rsid w:val="330A1D31"/>
    <w:rsid w:val="33B875D1"/>
    <w:rsid w:val="345765F8"/>
    <w:rsid w:val="36EE3BAE"/>
    <w:rsid w:val="37A9057A"/>
    <w:rsid w:val="37FB5B54"/>
    <w:rsid w:val="383149AE"/>
    <w:rsid w:val="39D90B40"/>
    <w:rsid w:val="3A5A7D4D"/>
    <w:rsid w:val="3B286B3D"/>
    <w:rsid w:val="3B3E696D"/>
    <w:rsid w:val="3BDF46F4"/>
    <w:rsid w:val="3D3A2657"/>
    <w:rsid w:val="3D9726AE"/>
    <w:rsid w:val="3E171CB9"/>
    <w:rsid w:val="3F656A54"/>
    <w:rsid w:val="40185875"/>
    <w:rsid w:val="402C22E1"/>
    <w:rsid w:val="40EC5540"/>
    <w:rsid w:val="42CE1AD9"/>
    <w:rsid w:val="43A916B2"/>
    <w:rsid w:val="43BB30E7"/>
    <w:rsid w:val="449112EE"/>
    <w:rsid w:val="46EE4F37"/>
    <w:rsid w:val="47FE61F6"/>
    <w:rsid w:val="4AD11442"/>
    <w:rsid w:val="4B266E82"/>
    <w:rsid w:val="4B5807DC"/>
    <w:rsid w:val="4BCE75F1"/>
    <w:rsid w:val="4E447007"/>
    <w:rsid w:val="4E850267"/>
    <w:rsid w:val="51BD4AC6"/>
    <w:rsid w:val="53F8307D"/>
    <w:rsid w:val="55F61D5C"/>
    <w:rsid w:val="56067FC7"/>
    <w:rsid w:val="56B01A3D"/>
    <w:rsid w:val="56E743B7"/>
    <w:rsid w:val="57901BED"/>
    <w:rsid w:val="58617BEC"/>
    <w:rsid w:val="58C17658"/>
    <w:rsid w:val="590B01C7"/>
    <w:rsid w:val="5A791FC3"/>
    <w:rsid w:val="5B1E43C9"/>
    <w:rsid w:val="5B827889"/>
    <w:rsid w:val="5DAD6FEA"/>
    <w:rsid w:val="5DDE6E0A"/>
    <w:rsid w:val="5EAE20B5"/>
    <w:rsid w:val="5F3C1DFA"/>
    <w:rsid w:val="60350320"/>
    <w:rsid w:val="62AD2AD5"/>
    <w:rsid w:val="63474159"/>
    <w:rsid w:val="64642450"/>
    <w:rsid w:val="648C4AD6"/>
    <w:rsid w:val="64C74DBA"/>
    <w:rsid w:val="65CD115F"/>
    <w:rsid w:val="67DD58F1"/>
    <w:rsid w:val="68486AAB"/>
    <w:rsid w:val="69F665A5"/>
    <w:rsid w:val="6AA37BCA"/>
    <w:rsid w:val="6C42400A"/>
    <w:rsid w:val="6C946523"/>
    <w:rsid w:val="6CD64895"/>
    <w:rsid w:val="6CFC1EF7"/>
    <w:rsid w:val="6D90563A"/>
    <w:rsid w:val="6DB00D50"/>
    <w:rsid w:val="6EB85489"/>
    <w:rsid w:val="7079054E"/>
    <w:rsid w:val="70F63B3A"/>
    <w:rsid w:val="72A91E68"/>
    <w:rsid w:val="73C44955"/>
    <w:rsid w:val="76455E60"/>
    <w:rsid w:val="77123106"/>
    <w:rsid w:val="78845475"/>
    <w:rsid w:val="78BC481D"/>
    <w:rsid w:val="7A3A2B26"/>
    <w:rsid w:val="7A603AC5"/>
    <w:rsid w:val="7A861051"/>
    <w:rsid w:val="7CB12962"/>
    <w:rsid w:val="7F4A49B6"/>
    <w:rsid w:val="7F5C7D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line="578" w:lineRule="auto"/>
      <w:outlineLvl w:val="0"/>
    </w:pPr>
    <w:rPr>
      <w:kern w:val="44"/>
      <w:sz w:val="44"/>
      <w:szCs w:val="44"/>
    </w:rPr>
  </w:style>
  <w:style w:type="paragraph" w:styleId="4">
    <w:name w:val="heading 2"/>
    <w:basedOn w:val="1"/>
    <w:next w:val="1"/>
    <w:qFormat/>
    <w:uiPriority w:val="0"/>
    <w:pPr>
      <w:keepNext/>
      <w:keepLines/>
      <w:spacing w:before="140" w:beforeLines="0" w:after="140" w:afterLines="0" w:line="413" w:lineRule="auto"/>
      <w:jc w:val="center"/>
      <w:outlineLvl w:val="1"/>
    </w:pPr>
    <w:rPr>
      <w:rFonts w:ascii="Arial" w:hAnsi="Arial"/>
      <w:b/>
      <w:sz w:val="28"/>
    </w:rPr>
  </w:style>
  <w:style w:type="paragraph" w:styleId="5">
    <w:name w:val="heading 3"/>
    <w:basedOn w:val="1"/>
    <w:next w:val="1"/>
    <w:qFormat/>
    <w:uiPriority w:val="0"/>
    <w:pPr>
      <w:keepNext/>
      <w:keepLines/>
      <w:spacing w:line="416" w:lineRule="auto"/>
      <w:outlineLvl w:val="2"/>
    </w:pPr>
    <w:rPr>
      <w:b/>
      <w:bCs/>
      <w:sz w:val="32"/>
      <w:szCs w:val="32"/>
    </w:rPr>
  </w:style>
  <w:style w:type="paragraph" w:styleId="6">
    <w:name w:val="heading 4"/>
    <w:basedOn w:val="1"/>
    <w:next w:val="1"/>
    <w:qFormat/>
    <w:uiPriority w:val="0"/>
    <w:pPr>
      <w:keepNext/>
      <w:keepLines/>
      <w:outlineLvl w:val="3"/>
    </w:pPr>
    <w:rPr>
      <w:rFonts w:ascii="Arial" w:hAnsi="Arial" w:eastAsia="黑体"/>
      <w:bCs/>
      <w:kern w:val="0"/>
      <w:sz w:val="24"/>
      <w:szCs w:val="28"/>
    </w:rPr>
  </w:style>
  <w:style w:type="paragraph" w:styleId="7">
    <w:name w:val="heading 5"/>
    <w:basedOn w:val="1"/>
    <w:next w:val="1"/>
    <w:qFormat/>
    <w:uiPriority w:val="0"/>
    <w:pPr>
      <w:keepNext/>
      <w:keepLines/>
      <w:tabs>
        <w:tab w:val="left" w:pos="1008"/>
      </w:tabs>
      <w:spacing w:before="280" w:beforeLines="0" w:after="290" w:afterLines="0" w:line="376" w:lineRule="auto"/>
      <w:ind w:left="1008" w:hanging="432"/>
      <w:outlineLvl w:val="4"/>
    </w:pPr>
    <w:rPr>
      <w:rFonts w:ascii="Times New Roman" w:hAnsi="Times New Roman" w:eastAsia="宋体" w:cs="Times New Roman"/>
      <w:b/>
      <w:bCs/>
      <w:sz w:val="28"/>
      <w:szCs w:val="28"/>
    </w:rPr>
  </w:style>
  <w:style w:type="character" w:default="1" w:styleId="17">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8">
    <w:name w:val="table of authorities"/>
    <w:basedOn w:val="1"/>
    <w:next w:val="1"/>
    <w:unhideWhenUsed/>
    <w:qFormat/>
    <w:uiPriority w:val="99"/>
    <w:pPr>
      <w:ind w:left="420" w:leftChars="200"/>
    </w:pPr>
  </w:style>
  <w:style w:type="paragraph" w:styleId="9">
    <w:name w:val="annotation text"/>
    <w:basedOn w:val="1"/>
    <w:qFormat/>
    <w:uiPriority w:val="0"/>
    <w:pPr>
      <w:jc w:val="left"/>
    </w:pPr>
  </w:style>
  <w:style w:type="paragraph" w:styleId="10">
    <w:name w:val="Body Text"/>
    <w:basedOn w:val="1"/>
    <w:next w:val="1"/>
    <w:link w:val="21"/>
    <w:qFormat/>
    <w:uiPriority w:val="0"/>
    <w:pPr>
      <w:spacing w:line="360" w:lineRule="auto"/>
    </w:pPr>
    <w:rPr>
      <w:szCs w:val="20"/>
    </w:rPr>
  </w:style>
  <w:style w:type="paragraph" w:styleId="11">
    <w:name w:val="footer"/>
    <w:basedOn w:val="1"/>
    <w:link w:val="22"/>
    <w:qFormat/>
    <w:uiPriority w:val="0"/>
    <w:pPr>
      <w:tabs>
        <w:tab w:val="center" w:pos="4153"/>
        <w:tab w:val="right" w:pos="8306"/>
      </w:tabs>
      <w:snapToGrid w:val="0"/>
      <w:jc w:val="left"/>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Subtitle"/>
    <w:basedOn w:val="1"/>
    <w:qFormat/>
    <w:uiPriority w:val="0"/>
    <w:pPr>
      <w:spacing w:before="240" w:beforeLines="0" w:after="60" w:afterLines="0" w:line="312" w:lineRule="auto"/>
      <w:jc w:val="center"/>
      <w:outlineLvl w:val="1"/>
    </w:pPr>
    <w:rPr>
      <w:rFonts w:ascii="Arial" w:hAnsi="Arial" w:cs="Arial"/>
      <w:b/>
      <w:bCs/>
      <w:kern w:val="28"/>
      <w:sz w:val="32"/>
      <w:szCs w:val="32"/>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FollowedHyperlink"/>
    <w:qFormat/>
    <w:uiPriority w:val="0"/>
    <w:rPr>
      <w:rFonts w:hint="eastAsia" w:ascii="黑体" w:hAnsi="宋体" w:eastAsia="黑体" w:cs="黑体"/>
      <w:color w:val="000000"/>
      <w:u w:val="none"/>
    </w:rPr>
  </w:style>
  <w:style w:type="character" w:styleId="20">
    <w:name w:val="Hyperlink"/>
    <w:qFormat/>
    <w:uiPriority w:val="0"/>
    <w:rPr>
      <w:rFonts w:ascii="黑体" w:hAnsi="宋体" w:eastAsia="黑体" w:cs="黑体"/>
      <w:color w:val="000000"/>
      <w:u w:val="none"/>
    </w:rPr>
  </w:style>
  <w:style w:type="character" w:customStyle="1" w:styleId="21">
    <w:name w:val="正文文本 Char"/>
    <w:link w:val="10"/>
    <w:uiPriority w:val="0"/>
    <w:rPr>
      <w:kern w:val="2"/>
      <w:sz w:val="21"/>
    </w:rPr>
  </w:style>
  <w:style w:type="character" w:customStyle="1" w:styleId="22">
    <w:name w:val="页脚 Char"/>
    <w:link w:val="11"/>
    <w:qFormat/>
    <w:uiPriority w:val="0"/>
    <w:rPr>
      <w:kern w:val="2"/>
      <w:sz w:val="18"/>
      <w:szCs w:val="18"/>
    </w:rPr>
  </w:style>
  <w:style w:type="character" w:customStyle="1" w:styleId="23">
    <w:name w:val="页眉 Char"/>
    <w:link w:val="12"/>
    <w:qFormat/>
    <w:uiPriority w:val="0"/>
    <w:rPr>
      <w:kern w:val="2"/>
      <w:sz w:val="18"/>
      <w:szCs w:val="18"/>
    </w:rPr>
  </w:style>
  <w:style w:type="paragraph" w:customStyle="1" w:styleId="24">
    <w:name w:val="正文正"/>
    <w:basedOn w:val="25"/>
    <w:qFormat/>
    <w:uiPriority w:val="0"/>
    <w:pPr>
      <w:spacing w:line="560" w:lineRule="exact"/>
      <w:ind w:firstLine="561"/>
    </w:pPr>
    <w:rPr>
      <w:rFonts w:eastAsia="仿宋_GB2312"/>
      <w:sz w:val="28"/>
      <w:szCs w:val="24"/>
    </w:rPr>
  </w:style>
  <w:style w:type="paragraph" w:customStyle="1" w:styleId="25">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character" w:customStyle="1" w:styleId="26">
    <w:name w:val="正文文本_"/>
    <w:link w:val="27"/>
    <w:qFormat/>
    <w:uiPriority w:val="0"/>
    <w:rPr>
      <w:rFonts w:hint="eastAsia" w:ascii="宋体" w:hAnsi="宋体"/>
      <w:sz w:val="16"/>
    </w:rPr>
  </w:style>
  <w:style w:type="paragraph" w:customStyle="1" w:styleId="27">
    <w:name w:val="正文文本1"/>
    <w:basedOn w:val="1"/>
    <w:link w:val="26"/>
    <w:qFormat/>
    <w:uiPriority w:val="0"/>
    <w:pPr>
      <w:shd w:val="clear" w:color="auto" w:fill="FFFFFF"/>
      <w:spacing w:after="180" w:afterLines="0" w:line="240" w:lineRule="atLeast"/>
      <w:ind w:hanging="440"/>
      <w:jc w:val="distribute"/>
    </w:pPr>
    <w:rPr>
      <w:rFonts w:hint="eastAsia" w:ascii="宋体" w:hAnsi="宋体"/>
      <w:kern w:val="0"/>
      <w:sz w:val="16"/>
      <w:szCs w:val="20"/>
    </w:rPr>
  </w:style>
  <w:style w:type="character" w:customStyle="1" w:styleId="28">
    <w:name w:val="纯文本 Char1"/>
    <w:qFormat/>
    <w:uiPriority w:val="0"/>
    <w:rPr>
      <w:rFonts w:ascii="宋体" w:hAnsi="Courier New" w:cs="Courier New"/>
      <w:kern w:val="2"/>
      <w:sz w:val="21"/>
      <w:szCs w:val="21"/>
    </w:rPr>
  </w:style>
  <w:style w:type="paragraph" w:styleId="29">
    <w:name w:val="List Paragraph"/>
    <w:basedOn w:val="1"/>
    <w:qFormat/>
    <w:uiPriority w:val="0"/>
    <w:pPr>
      <w:ind w:firstLine="420" w:firstLineChars="200"/>
    </w:pPr>
  </w:style>
  <w:style w:type="paragraph" w:customStyle="1" w:styleId="30">
    <w:name w:val="正文内容"/>
    <w:basedOn w:val="1"/>
    <w:qFormat/>
    <w:uiPriority w:val="0"/>
    <w:pPr>
      <w:adjustRightInd w:val="0"/>
      <w:spacing w:line="360" w:lineRule="auto"/>
      <w:ind w:firstLine="200" w:firstLineChars="200"/>
    </w:pPr>
    <w:rPr>
      <w:sz w:val="24"/>
      <w:lang w:val="zh-CN"/>
    </w:rPr>
  </w:style>
  <w:style w:type="paragraph" w:customStyle="1" w:styleId="3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正文 New New"/>
    <w:qFormat/>
    <w:uiPriority w:val="0"/>
    <w:pPr>
      <w:widowControl w:val="0"/>
      <w:adjustRightInd w:val="0"/>
      <w:spacing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33">
    <w:name w:val="标题 4_0"/>
    <w:basedOn w:val="34"/>
    <w:next w:val="34"/>
    <w:qFormat/>
    <w:uiPriority w:val="0"/>
    <w:pPr>
      <w:keepNext/>
      <w:keepLines/>
      <w:numPr>
        <w:ilvl w:val="3"/>
        <w:numId w:val="1"/>
      </w:numPr>
      <w:spacing w:before="100" w:beforeLines="0" w:beforeAutospacing="1" w:after="100" w:afterLines="0" w:afterAutospacing="1"/>
      <w:ind w:left="0" w:firstLine="0"/>
      <w:outlineLvl w:val="3"/>
    </w:pPr>
    <w:rPr>
      <w:rFonts w:ascii="Cambria" w:hAnsi="Cambria" w:eastAsia="黑体" w:cs="Times New Roman"/>
      <w:b/>
      <w:kern w:val="0"/>
      <w:szCs w:val="20"/>
      <w:lang w:val="zh-CN"/>
    </w:rPr>
  </w:style>
  <w:style w:type="paragraph" w:customStyle="1" w:styleId="34">
    <w:name w:val="正文_0"/>
    <w:qFormat/>
    <w:uiPriority w:val="0"/>
    <w:pPr>
      <w:widowControl w:val="0"/>
      <w:spacing w:line="360" w:lineRule="auto"/>
      <w:ind w:firstLine="418"/>
      <w:jc w:val="both"/>
    </w:pPr>
    <w:rPr>
      <w:rFonts w:ascii="仿宋" w:hAnsi="仿宋" w:eastAsia="仿宋" w:cs="黑体"/>
      <w:color w:val="000000"/>
      <w:kern w:val="1"/>
      <w:sz w:val="24"/>
      <w:szCs w:val="22"/>
      <w:lang w:val="en-US" w:eastAsia="zh-CN" w:bidi="ar-SA"/>
    </w:rPr>
  </w:style>
  <w:style w:type="paragraph" w:customStyle="1" w:styleId="35">
    <w:name w:val="文档正文"/>
    <w:basedOn w:val="32"/>
    <w:qFormat/>
    <w:uiPriority w:val="0"/>
    <w:pPr>
      <w:ind w:firstLine="482"/>
    </w:pPr>
    <w:rPr>
      <w:sz w:val="24"/>
    </w:rPr>
  </w:style>
  <w:style w:type="paragraph" w:customStyle="1" w:styleId="36">
    <w:name w:val="正文文本 New"/>
    <w:basedOn w:val="1"/>
    <w:qFormat/>
    <w:uiPriority w:val="0"/>
    <w:pPr>
      <w:spacing w:after="120" w:afterLines="0" w:line="360" w:lineRule="auto"/>
    </w:pPr>
    <w:rPr>
      <w:rFonts w:ascii="宋体"/>
      <w:sz w:val="24"/>
      <w:szCs w:val="20"/>
    </w:rPr>
  </w:style>
  <w:style w:type="paragraph" w:customStyle="1" w:styleId="37">
    <w:name w:val="_Style 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正文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styleId="39">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标题 3_0"/>
    <w:basedOn w:val="34"/>
    <w:next w:val="34"/>
    <w:qFormat/>
    <w:uiPriority w:val="0"/>
    <w:pPr>
      <w:keepNext/>
      <w:keepLines/>
      <w:numPr>
        <w:ilvl w:val="2"/>
        <w:numId w:val="1"/>
      </w:numPr>
      <w:spacing w:before="260" w:beforeLines="0" w:after="260" w:afterLines="0"/>
      <w:ind w:left="737" w:hanging="737"/>
      <w:outlineLvl w:val="2"/>
    </w:pPr>
    <w:rPr>
      <w:rFonts w:ascii="Times New Roman" w:hAnsi="Times New Roman" w:eastAsia="黑体" w:cs="Times New Roman"/>
      <w:b/>
      <w:kern w:val="0"/>
      <w:sz w:val="26"/>
      <w:szCs w:val="24"/>
      <w:lang w:val="zh-CN"/>
    </w:rPr>
  </w:style>
  <w:style w:type="paragraph" w:customStyle="1" w:styleId="41">
    <w:name w:val="Normal Indent"/>
    <w:basedOn w:val="42"/>
    <w:qFormat/>
    <w:uiPriority w:val="0"/>
    <w:pPr>
      <w:widowControl/>
      <w:ind w:firstLine="420"/>
      <w:jc w:val="left"/>
    </w:pPr>
    <w:rPr>
      <w:rFonts w:ascii="Times New Roman" w:hAnsi="Times New Roman"/>
      <w:kern w:val="0"/>
      <w:szCs w:val="20"/>
    </w:rPr>
  </w:style>
  <w:style w:type="paragraph" w:customStyle="1" w:styleId="42">
    <w:name w:val="正文 New"/>
    <w:next w:val="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魔方安全科技）"/>
    <w:qFormat/>
    <w:uiPriority w:val="0"/>
    <w:pPr>
      <w:spacing w:line="300" w:lineRule="auto"/>
    </w:pPr>
    <w:rPr>
      <w:rFonts w:ascii="Arial" w:hAnsi="Arial" w:eastAsia="宋体" w:cs="Arial"/>
      <w:color w:val="000000"/>
      <w:sz w:val="21"/>
      <w:szCs w:val="21"/>
      <w:lang w:val="en-US" w:eastAsia="zh-CN" w:bidi="ar-SA"/>
    </w:rPr>
  </w:style>
  <w:style w:type="paragraph" w:customStyle="1" w:styleId="44">
    <w:name w:val="正文 New New New New New New"/>
    <w:qFormat/>
    <w:uiPriority w:val="0"/>
    <w:pPr>
      <w:widowControl w:val="0"/>
      <w:jc w:val="both"/>
    </w:pPr>
    <w:rPr>
      <w:rFonts w:ascii="宋体" w:hAnsi="宋体" w:eastAsia="微软雅黑" w:cs="Times New Roman"/>
      <w:kern w:val="16"/>
      <w:sz w:val="21"/>
      <w:szCs w:val="24"/>
      <w:lang w:val="en-US" w:eastAsia="zh-CN" w:bidi="ar-SA"/>
    </w:rPr>
  </w:style>
  <w:style w:type="paragraph" w:customStyle="1" w:styleId="45">
    <w:name w:val="样式 宋体 行距: 1.5 倍行距"/>
    <w:basedOn w:val="1"/>
    <w:qFormat/>
    <w:uiPriority w:val="0"/>
    <w:pPr>
      <w:jc w:val="center"/>
    </w:pPr>
    <w:rPr>
      <w:rFonts w:ascii="Times New Roman" w:hAnsi="Times New Roman" w:eastAsia="宋体" w:cs="Times New Roman"/>
      <w:b/>
    </w:rPr>
  </w:style>
  <w:style w:type="paragraph" w:customStyle="1" w:styleId="46">
    <w:name w:val="正文-公1"/>
    <w:basedOn w:val="1"/>
    <w:qFormat/>
    <w:uiPriority w:val="0"/>
    <w:pPr>
      <w:ind w:firstLine="200" w:firstLineChars="200"/>
    </w:pPr>
    <w:rPr>
      <w:rFonts w:ascii="Calibri" w:hAnsi="Calibri"/>
    </w:rPr>
  </w:style>
  <w:style w:type="paragraph" w:customStyle="1" w:styleId="47">
    <w:name w:val="标题 5_0"/>
    <w:basedOn w:val="34"/>
    <w:next w:val="34"/>
    <w:qFormat/>
    <w:uiPriority w:val="0"/>
    <w:pPr>
      <w:keepNext/>
      <w:keepLines/>
      <w:numPr>
        <w:ilvl w:val="4"/>
        <w:numId w:val="1"/>
      </w:numPr>
      <w:spacing w:before="40" w:beforeLines="0"/>
      <w:ind w:left="1008" w:hanging="1008"/>
      <w:outlineLvl w:val="4"/>
    </w:pPr>
    <w:rPr>
      <w:rFonts w:ascii="Cambria" w:hAnsi="Cambria" w:eastAsia="黑体" w:cs="Times New Roman"/>
      <w:b/>
      <w:kern w:val="0"/>
      <w:szCs w:val="20"/>
      <w:lang w:val="zh-CN"/>
    </w:rPr>
  </w:style>
  <w:style w:type="paragraph" w:customStyle="1" w:styleId="4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
    <w:name w:val="正文 New New New New New New New New New New New New New New"/>
    <w:qFormat/>
    <w:uiPriority w:val="0"/>
    <w:pPr>
      <w:widowControl w:val="0"/>
      <w:jc w:val="both"/>
    </w:pPr>
    <w:rPr>
      <w:rFonts w:ascii="Calibri" w:hAnsi="Calibri" w:eastAsia="楷体_GB2312" w:cs="Times New Roman"/>
      <w:kern w:val="2"/>
      <w:sz w:val="21"/>
      <w:lang w:val="en-US" w:eastAsia="zh-CN" w:bidi="ar-SA"/>
    </w:rPr>
  </w:style>
  <w:style w:type="paragraph" w:customStyle="1" w:styleId="50">
    <w:name w:val="p0 New"/>
    <w:basedOn w:val="1"/>
    <w:qFormat/>
    <w:uiPriority w:val="0"/>
    <w:pPr>
      <w:jc w:val="both"/>
    </w:pPr>
    <w:rPr>
      <w:rFonts w:ascii="Times New Roman" w:hAnsi="Times New Roman" w:cs="Times New Roman"/>
      <w:sz w:val="21"/>
      <w:szCs w:val="21"/>
    </w:rPr>
  </w:style>
  <w:style w:type="paragraph" w:customStyle="1" w:styleId="51">
    <w:name w:val="正文缩进2格"/>
    <w:basedOn w:val="1"/>
    <w:next w:val="1"/>
    <w:qFormat/>
    <w:uiPriority w:val="0"/>
    <w:pPr>
      <w:spacing w:line="600" w:lineRule="exact"/>
      <w:ind w:firstLine="639" w:firstLineChars="206"/>
    </w:pPr>
    <w:rPr>
      <w:rFonts w:ascii="仿宋_GB2312" w:hAnsi="宋体" w:eastAsia="仿宋_GB2312"/>
      <w:kern w:val="0"/>
      <w:sz w:val="31"/>
      <w:szCs w:val="28"/>
    </w:rPr>
  </w:style>
  <w:style w:type="paragraph" w:customStyle="1" w:styleId="52">
    <w:name w:val="标题 1 New"/>
    <w:basedOn w:val="32"/>
    <w:next w:val="35"/>
    <w:qFormat/>
    <w:uiPriority w:val="0"/>
    <w:pPr>
      <w:numPr>
        <w:ilvl w:val="0"/>
        <w:numId w:val="2"/>
      </w:numPr>
      <w:ind w:left="431" w:firstLine="0" w:firstLineChars="0"/>
      <w:jc w:val="left"/>
      <w:outlineLvl w:val="0"/>
    </w:pPr>
    <w:rPr>
      <w:rFonts w:ascii="微软雅黑" w:hAnsi="微软雅黑" w:eastAsia="微软雅黑"/>
      <w:b/>
      <w:kern w:val="44"/>
      <w:sz w:val="36"/>
    </w:rPr>
  </w:style>
  <w:style w:type="paragraph" w:customStyle="1" w:styleId="5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54">
    <w:name w:val="Normal Indent1"/>
    <w:basedOn w:val="1"/>
    <w:qFormat/>
    <w:uiPriority w:val="0"/>
    <w:pPr>
      <w:ind w:firstLine="420"/>
    </w:pPr>
    <w:rPr>
      <w:rFonts w:ascii="Calibri" w:hAnsi="Calibri"/>
      <w:kern w:val="0"/>
      <w:sz w:val="18"/>
      <w:szCs w:val="18"/>
    </w:rPr>
  </w:style>
  <w:style w:type="character" w:customStyle="1" w:styleId="55">
    <w:name w:val="ca-01"/>
    <w:qFormat/>
    <w:uiPriority w:val="0"/>
    <w:rPr>
      <w:rFonts w:hint="eastAsia" w:ascii="宋体" w:hAnsi="宋体" w:eastAsia="宋体"/>
      <w:sz w:val="21"/>
      <w:szCs w:val="21"/>
    </w:rPr>
  </w:style>
  <w:style w:type="character" w:customStyle="1" w:styleId="56">
    <w:name w:val="font61"/>
    <w:basedOn w:val="17"/>
    <w:qFormat/>
    <w:uiPriority w:val="0"/>
    <w:rPr>
      <w:rFonts w:hint="eastAsia" w:ascii="宋体" w:hAnsi="宋体" w:eastAsia="宋体" w:cs="宋体"/>
      <w:color w:val="333333"/>
      <w:sz w:val="24"/>
      <w:szCs w:val="24"/>
      <w:u w:val="none"/>
    </w:rPr>
  </w:style>
  <w:style w:type="character" w:customStyle="1" w:styleId="57">
    <w:name w:val="font21"/>
    <w:basedOn w:val="17"/>
    <w:qFormat/>
    <w:uiPriority w:val="0"/>
    <w:rPr>
      <w:rFonts w:ascii="宋体" w:hAnsi="宋体" w:eastAsia="宋体" w:cs="宋体"/>
      <w:color w:val="000000"/>
      <w:sz w:val="22"/>
      <w:szCs w:val="22"/>
      <w:u w:val="none"/>
    </w:rPr>
  </w:style>
  <w:style w:type="character" w:customStyle="1" w:styleId="58">
    <w:name w:val="font11"/>
    <w:basedOn w:val="17"/>
    <w:qFormat/>
    <w:uiPriority w:val="0"/>
    <w:rPr>
      <w:rFonts w:hint="eastAsia" w:ascii="宋体" w:hAnsi="宋体" w:eastAsia="宋体" w:cs="宋体"/>
      <w:color w:val="000000"/>
      <w:sz w:val="22"/>
      <w:szCs w:val="22"/>
      <w:u w:val="none"/>
    </w:rPr>
  </w:style>
  <w:style w:type="character" w:customStyle="1" w:styleId="59">
    <w:name w:val="font01"/>
    <w:basedOn w:val="17"/>
    <w:qFormat/>
    <w:uiPriority w:val="0"/>
    <w:rPr>
      <w:rFonts w:hint="eastAsia" w:ascii="宋体" w:hAnsi="宋体" w:eastAsia="宋体" w:cs="宋体"/>
      <w:color w:val="000000"/>
      <w:sz w:val="24"/>
      <w:szCs w:val="24"/>
      <w:u w:val="none"/>
    </w:rPr>
  </w:style>
  <w:style w:type="paragraph" w:customStyle="1" w:styleId="60">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4951</Words>
  <Characters>5655</Characters>
  <Lines>67</Lines>
  <Paragraphs>18</Paragraphs>
  <TotalTime>14</TotalTime>
  <ScaleCrop>false</ScaleCrop>
  <LinksUpToDate>false</LinksUpToDate>
  <CharactersWithSpaces>5709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2020-06-12T07:47:00Z</dcterms:created>
  <dc:creator>test</dc:creator>
  <cp:lastModifiedBy>  </cp:lastModifiedBy>
  <cp:lastPrinted>2022-11-25T06:30:00Z</cp:lastPrinted>
  <dcterms:modified xsi:type="dcterms:W3CDTF">2022-11-29T02:13:12Z</dcterms:modified>
  <dc:title>广东韶州人民医院智能化系统全过程造价咨询服务项目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6065723F39AD4DAA9B94A883C1843935</vt:lpwstr>
  </property>
</Properties>
</file>