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韶关市乐昌公路养护中心购置自卸货车项目</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bookmarkStart w:id="9" w:name="_GoBack"/>
      <w:bookmarkEnd w:id="9"/>
    </w:p>
    <w:p>
      <w:pPr>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7"/>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采购需求一览表</w:t>
      </w:r>
    </w:p>
    <w:tbl>
      <w:tblPr>
        <w:tblStyle w:val="5"/>
        <w:tblW w:w="4998" w:type="pct"/>
        <w:jc w:val="center"/>
        <w:tblLayout w:type="autofit"/>
        <w:tblCellMar>
          <w:top w:w="0" w:type="dxa"/>
          <w:left w:w="0" w:type="dxa"/>
          <w:bottom w:w="0" w:type="dxa"/>
          <w:right w:w="0" w:type="dxa"/>
        </w:tblCellMar>
      </w:tblPr>
      <w:tblGrid>
        <w:gridCol w:w="665"/>
        <w:gridCol w:w="1774"/>
        <w:gridCol w:w="1130"/>
        <w:gridCol w:w="1300"/>
        <w:gridCol w:w="1860"/>
        <w:gridCol w:w="1604"/>
      </w:tblGrid>
      <w:tr>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06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67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1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96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06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韶关市乐昌公路养护中心购置自卸货车项目</w:t>
            </w:r>
          </w:p>
        </w:tc>
        <w:tc>
          <w:tcPr>
            <w:tcW w:w="67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2、采购标的清单、技术规格及参数</w:t>
            </w:r>
          </w:p>
        </w:tc>
        <w:tc>
          <w:tcPr>
            <w:tcW w:w="11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合同签订之日起至2023年10月31日交货、安装完毕并通过验收</w:t>
            </w:r>
          </w:p>
        </w:tc>
        <w:tc>
          <w:tcPr>
            <w:tcW w:w="96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￥150,000.00</w:t>
            </w:r>
          </w:p>
        </w:tc>
      </w:tr>
    </w:tbl>
    <w:p>
      <w:pPr>
        <w:pStyle w:val="7"/>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pPr>
        <w:pStyle w:val="7"/>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采购标的清单、技术规格及参数</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4"/>
        <w:gridCol w:w="1119"/>
        <w:gridCol w:w="4367"/>
        <w:gridCol w:w="665"/>
        <w:gridCol w:w="672"/>
        <w:gridCol w:w="1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产品名称</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主要技术参数</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单位</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cs="宋体"/>
                <w:i w:val="0"/>
                <w:iCs w:val="0"/>
                <w:color w:val="auto"/>
                <w:sz w:val="21"/>
                <w:szCs w:val="21"/>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养护车</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w:t>
            </w:r>
            <w:r>
              <w:rPr>
                <w:rFonts w:hint="eastAsia" w:ascii="宋体" w:hAnsi="宋体" w:eastAsia="宋体" w:cs="宋体"/>
                <w:i w:val="0"/>
                <w:iCs w:val="0"/>
                <w:color w:val="auto"/>
                <w:sz w:val="21"/>
                <w:szCs w:val="21"/>
                <w:u w:val="none"/>
              </w:rPr>
              <w:t>外形尺寸≤4990×1900×2100mm。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w:t>
            </w:r>
            <w:r>
              <w:rPr>
                <w:rFonts w:hint="eastAsia" w:ascii="宋体" w:hAnsi="宋体" w:eastAsia="宋体" w:cs="宋体"/>
                <w:i w:val="0"/>
                <w:iCs w:val="0"/>
                <w:color w:val="auto"/>
                <w:sz w:val="21"/>
                <w:szCs w:val="21"/>
                <w:u w:val="none"/>
              </w:rPr>
              <w:t>货厢尺寸≥2190×1800×400mm。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3．</w:t>
            </w:r>
            <w:r>
              <w:rPr>
                <w:rFonts w:hint="eastAsia" w:ascii="宋体" w:hAnsi="宋体" w:eastAsia="宋体" w:cs="宋体"/>
                <w:i w:val="0"/>
                <w:iCs w:val="0"/>
                <w:color w:val="auto"/>
                <w:sz w:val="21"/>
                <w:szCs w:val="21"/>
                <w:u w:val="none"/>
              </w:rPr>
              <w:t>总质量≥4495Kg。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4．</w:t>
            </w:r>
            <w:r>
              <w:rPr>
                <w:rFonts w:hint="eastAsia" w:ascii="宋体" w:hAnsi="宋体" w:eastAsia="宋体" w:cs="宋体"/>
                <w:i w:val="0"/>
                <w:iCs w:val="0"/>
                <w:color w:val="auto"/>
                <w:sz w:val="21"/>
                <w:szCs w:val="21"/>
                <w:u w:val="none"/>
              </w:rPr>
              <w:t>载质量利用系数≥0.72。</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5．</w:t>
            </w:r>
            <w:r>
              <w:rPr>
                <w:rFonts w:hint="eastAsia" w:ascii="宋体" w:hAnsi="宋体" w:eastAsia="宋体" w:cs="宋体"/>
                <w:i w:val="0"/>
                <w:iCs w:val="0"/>
                <w:color w:val="auto"/>
                <w:sz w:val="21"/>
                <w:szCs w:val="21"/>
                <w:u w:val="none"/>
              </w:rPr>
              <w:t>整备质量≥2600Kg。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6．</w:t>
            </w:r>
            <w:r>
              <w:rPr>
                <w:rFonts w:hint="eastAsia" w:ascii="宋体" w:hAnsi="宋体" w:eastAsia="宋体" w:cs="宋体"/>
                <w:i w:val="0"/>
                <w:iCs w:val="0"/>
                <w:color w:val="auto"/>
                <w:sz w:val="21"/>
                <w:szCs w:val="21"/>
                <w:u w:val="none"/>
              </w:rPr>
              <w:t>额定载质量≥1570Kg。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7．</w:t>
            </w:r>
            <w:r>
              <w:rPr>
                <w:rFonts w:hint="eastAsia" w:ascii="宋体" w:hAnsi="宋体" w:eastAsia="宋体" w:cs="宋体"/>
                <w:i w:val="0"/>
                <w:iCs w:val="0"/>
                <w:color w:val="auto"/>
                <w:sz w:val="21"/>
                <w:szCs w:val="21"/>
                <w:u w:val="none"/>
              </w:rPr>
              <w:t>前排乘客：2+3人。</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8．</w:t>
            </w:r>
            <w:r>
              <w:rPr>
                <w:rFonts w:hint="eastAsia" w:ascii="宋体" w:hAnsi="宋体" w:eastAsia="宋体" w:cs="宋体"/>
                <w:i w:val="0"/>
                <w:iCs w:val="0"/>
                <w:color w:val="auto"/>
                <w:sz w:val="21"/>
                <w:szCs w:val="21"/>
                <w:u w:val="none"/>
              </w:rPr>
              <w:t>接近角/离去角≥19/25°。</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9．</w:t>
            </w:r>
            <w:r>
              <w:rPr>
                <w:rFonts w:hint="eastAsia" w:ascii="宋体" w:hAnsi="宋体" w:eastAsia="宋体" w:cs="宋体"/>
                <w:i w:val="0"/>
                <w:iCs w:val="0"/>
                <w:color w:val="auto"/>
                <w:sz w:val="21"/>
                <w:szCs w:val="21"/>
                <w:u w:val="none"/>
              </w:rPr>
              <w:t>前悬/后悬≥1110/1080mm。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10．</w:t>
            </w:r>
            <w:r>
              <w:rPr>
                <w:rFonts w:hint="eastAsia" w:ascii="宋体" w:hAnsi="宋体" w:eastAsia="宋体" w:cs="宋体"/>
                <w:i w:val="0"/>
                <w:iCs w:val="0"/>
                <w:color w:val="auto"/>
                <w:sz w:val="21"/>
                <w:szCs w:val="21"/>
                <w:u w:val="none"/>
              </w:rPr>
              <w:t>轴荷≥1895/2600。</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11．</w:t>
            </w:r>
            <w:r>
              <w:rPr>
                <w:rFonts w:hint="eastAsia" w:ascii="宋体" w:hAnsi="宋体" w:eastAsia="宋体" w:cs="宋体"/>
                <w:i w:val="0"/>
                <w:iCs w:val="0"/>
                <w:color w:val="auto"/>
                <w:sz w:val="21"/>
                <w:szCs w:val="21"/>
                <w:u w:val="none"/>
              </w:rPr>
              <w:t>轴距≥2800mm。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12．</w:t>
            </w:r>
            <w:r>
              <w:rPr>
                <w:rFonts w:hint="eastAsia" w:ascii="宋体" w:hAnsi="宋体" w:eastAsia="宋体" w:cs="宋体"/>
                <w:i w:val="0"/>
                <w:iCs w:val="0"/>
                <w:color w:val="auto"/>
                <w:sz w:val="21"/>
                <w:szCs w:val="21"/>
                <w:u w:val="none"/>
              </w:rPr>
              <w:t>轴数：2。</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13．</w:t>
            </w:r>
            <w:r>
              <w:rPr>
                <w:rFonts w:hint="eastAsia" w:ascii="宋体" w:hAnsi="宋体" w:eastAsia="宋体" w:cs="宋体"/>
                <w:i w:val="0"/>
                <w:iCs w:val="0"/>
                <w:color w:val="auto"/>
                <w:sz w:val="21"/>
                <w:szCs w:val="21"/>
                <w:u w:val="none"/>
              </w:rPr>
              <w:t>最高车速≥100km/h。</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14．</w:t>
            </w:r>
            <w:r>
              <w:rPr>
                <w:rFonts w:hint="eastAsia" w:ascii="宋体" w:hAnsi="宋体" w:eastAsia="宋体" w:cs="宋体"/>
                <w:i w:val="0"/>
                <w:iCs w:val="0"/>
                <w:color w:val="auto"/>
                <w:sz w:val="21"/>
                <w:szCs w:val="21"/>
                <w:u w:val="none"/>
              </w:rPr>
              <w:t>油耗≤10.5L/100Km。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15．</w:t>
            </w:r>
            <w:r>
              <w:rPr>
                <w:rFonts w:hint="eastAsia" w:ascii="宋体" w:hAnsi="宋体" w:eastAsia="宋体" w:cs="宋体"/>
                <w:i w:val="0"/>
                <w:iCs w:val="0"/>
                <w:color w:val="auto"/>
                <w:sz w:val="21"/>
                <w:szCs w:val="21"/>
                <w:u w:val="none"/>
              </w:rPr>
              <w:t>弹簧片数：7/6+5。</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16．</w:t>
            </w:r>
            <w:r>
              <w:rPr>
                <w:rFonts w:hint="eastAsia" w:ascii="宋体" w:hAnsi="宋体" w:eastAsia="宋体" w:cs="宋体"/>
                <w:i w:val="0"/>
                <w:iCs w:val="0"/>
                <w:color w:val="auto"/>
                <w:sz w:val="21"/>
                <w:szCs w:val="21"/>
                <w:u w:val="none"/>
              </w:rPr>
              <w:t>轮胎数：4。</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17．</w:t>
            </w:r>
            <w:r>
              <w:rPr>
                <w:rFonts w:hint="eastAsia" w:ascii="宋体" w:hAnsi="宋体" w:eastAsia="宋体" w:cs="宋体"/>
                <w:i w:val="0"/>
                <w:iCs w:val="0"/>
                <w:color w:val="auto"/>
                <w:sz w:val="21"/>
                <w:szCs w:val="21"/>
                <w:u w:val="none"/>
              </w:rPr>
              <w:t>轮胎规格：7.00R16LT 14PR。</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18．</w:t>
            </w:r>
            <w:r>
              <w:rPr>
                <w:rFonts w:hint="eastAsia" w:ascii="宋体" w:hAnsi="宋体" w:eastAsia="宋体" w:cs="宋体"/>
                <w:i w:val="0"/>
                <w:iCs w:val="0"/>
                <w:color w:val="auto"/>
                <w:sz w:val="21"/>
                <w:szCs w:val="21"/>
                <w:u w:val="none"/>
              </w:rPr>
              <w:t>前轮距≥1370m。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19．</w:t>
            </w:r>
            <w:r>
              <w:rPr>
                <w:rFonts w:hint="eastAsia" w:ascii="宋体" w:hAnsi="宋体" w:eastAsia="宋体" w:cs="宋体"/>
                <w:i w:val="0"/>
                <w:iCs w:val="0"/>
                <w:color w:val="auto"/>
                <w:sz w:val="21"/>
                <w:szCs w:val="21"/>
                <w:u w:val="none"/>
              </w:rPr>
              <w:t>后轮距≥1520mm。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20．</w:t>
            </w:r>
            <w:r>
              <w:rPr>
                <w:rFonts w:hint="eastAsia" w:ascii="宋体" w:hAnsi="宋体" w:eastAsia="宋体" w:cs="宋体"/>
                <w:i w:val="0"/>
                <w:iCs w:val="0"/>
                <w:color w:val="auto"/>
                <w:sz w:val="21"/>
                <w:szCs w:val="21"/>
                <w:u w:val="none"/>
              </w:rPr>
              <w:t>发动机排量≥2499ml；</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21．</w:t>
            </w:r>
            <w:r>
              <w:rPr>
                <w:rFonts w:hint="eastAsia" w:ascii="宋体" w:hAnsi="宋体" w:eastAsia="宋体" w:cs="宋体"/>
                <w:i w:val="0"/>
                <w:iCs w:val="0"/>
                <w:color w:val="auto"/>
                <w:sz w:val="21"/>
                <w:szCs w:val="21"/>
                <w:u w:val="none"/>
              </w:rPr>
              <w:t>发动机功率≥90kw；</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22．</w:t>
            </w:r>
            <w:r>
              <w:rPr>
                <w:rFonts w:hint="eastAsia" w:ascii="宋体" w:hAnsi="宋体" w:eastAsia="宋体" w:cs="宋体"/>
                <w:i w:val="0"/>
                <w:iCs w:val="0"/>
                <w:color w:val="auto"/>
                <w:sz w:val="21"/>
                <w:szCs w:val="21"/>
                <w:u w:val="none"/>
              </w:rPr>
              <w:t>燃料种类：柴油。</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23．</w:t>
            </w:r>
            <w:r>
              <w:rPr>
                <w:rFonts w:hint="eastAsia" w:ascii="宋体" w:hAnsi="宋体" w:eastAsia="宋体" w:cs="宋体"/>
                <w:i w:val="0"/>
                <w:iCs w:val="0"/>
                <w:color w:val="auto"/>
                <w:sz w:val="21"/>
                <w:szCs w:val="21"/>
                <w:u w:val="none"/>
              </w:rPr>
              <w:t>底盘排放标准：国六。</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24．</w:t>
            </w:r>
            <w:r>
              <w:rPr>
                <w:rFonts w:hint="eastAsia" w:ascii="宋体" w:hAnsi="宋体" w:eastAsia="宋体" w:cs="宋体"/>
                <w:i w:val="0"/>
                <w:iCs w:val="0"/>
                <w:color w:val="auto"/>
                <w:sz w:val="21"/>
                <w:szCs w:val="21"/>
                <w:u w:val="none"/>
              </w:rPr>
              <w:t>倾卸型式为后倾卸式。</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25．</w:t>
            </w:r>
            <w:r>
              <w:rPr>
                <w:rFonts w:hint="eastAsia" w:ascii="宋体" w:hAnsi="宋体" w:eastAsia="宋体" w:cs="宋体"/>
                <w:i w:val="0"/>
                <w:iCs w:val="0"/>
                <w:color w:val="auto"/>
                <w:sz w:val="21"/>
                <w:szCs w:val="21"/>
                <w:u w:val="none"/>
              </w:rPr>
              <w:t>ABS系统：有。</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26．</w:t>
            </w:r>
            <w:r>
              <w:rPr>
                <w:rFonts w:hint="eastAsia" w:ascii="宋体" w:hAnsi="宋体" w:eastAsia="宋体" w:cs="宋体"/>
                <w:i w:val="0"/>
                <w:iCs w:val="0"/>
                <w:color w:val="auto"/>
                <w:sz w:val="21"/>
                <w:szCs w:val="21"/>
                <w:u w:val="none"/>
              </w:rPr>
              <w:t>断面尺寸≥100mm×45mm。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27．</w:t>
            </w:r>
            <w:r>
              <w:rPr>
                <w:rFonts w:hint="eastAsia" w:ascii="宋体" w:hAnsi="宋体" w:eastAsia="宋体" w:cs="宋体"/>
                <w:i w:val="0"/>
                <w:iCs w:val="0"/>
                <w:color w:val="auto"/>
                <w:sz w:val="21"/>
                <w:szCs w:val="21"/>
                <w:u w:val="none"/>
              </w:rPr>
              <w:t>离地高度≥450mm。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28．</w:t>
            </w:r>
            <w:r>
              <w:rPr>
                <w:rFonts w:hint="eastAsia" w:ascii="宋体" w:hAnsi="宋体" w:eastAsia="宋体" w:cs="宋体"/>
                <w:i w:val="0"/>
                <w:iCs w:val="0"/>
                <w:color w:val="auto"/>
                <w:sz w:val="21"/>
                <w:szCs w:val="21"/>
                <w:u w:val="none"/>
              </w:rPr>
              <w:t>制动方式：液刹</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1</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辆</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bl>
    <w:p>
      <w:pPr>
        <w:pStyle w:val="7"/>
        <w:ind w:left="0" w:leftChars="0" w:firstLine="0" w:firstLineChars="0"/>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w:t>
      </w:r>
      <w:r>
        <w:rPr>
          <w:rFonts w:hint="eastAsia" w:ascii="宋体" w:hAnsi="宋体" w:eastAsia="宋体" w:cs="宋体"/>
          <w:i w:val="0"/>
          <w:color w:val="auto"/>
          <w:sz w:val="21"/>
          <w:szCs w:val="21"/>
          <w:u w:val="none"/>
          <w:lang w:val="en-US" w:eastAsia="zh-CN"/>
        </w:rPr>
        <w:t>合同签订之日起</w:t>
      </w:r>
      <w:r>
        <w:rPr>
          <w:rFonts w:hint="eastAsia" w:ascii="宋体" w:hAnsi="宋体" w:cs="宋体"/>
          <w:i w:val="0"/>
          <w:color w:val="auto"/>
          <w:sz w:val="21"/>
          <w:szCs w:val="21"/>
          <w:u w:val="none"/>
          <w:lang w:val="en-US" w:eastAsia="zh-CN"/>
        </w:rPr>
        <w:t>至2023年10月31日</w:t>
      </w:r>
      <w:r>
        <w:rPr>
          <w:rFonts w:hint="eastAsia" w:ascii="宋体" w:hAnsi="宋体" w:eastAsia="宋体" w:cs="宋体"/>
          <w:i w:val="0"/>
          <w:color w:val="auto"/>
          <w:sz w:val="21"/>
          <w:szCs w:val="21"/>
          <w:u w:val="none"/>
          <w:lang w:val="en-US" w:eastAsia="zh-CN"/>
        </w:rPr>
        <w:t>交货、安装完毕并通过验收</w:t>
      </w:r>
      <w:r>
        <w:rPr>
          <w:rFonts w:hint="eastAsia" w:ascii="宋体" w:hAnsi="宋体" w:eastAsia="宋体" w:cs="宋体"/>
          <w:color w:val="auto"/>
          <w:sz w:val="21"/>
          <w:szCs w:val="21"/>
          <w:lang w:val="en-US" w:eastAsia="zh-CN"/>
        </w:rPr>
        <w:t>。</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32156"/>
      <w:bookmarkStart w:id="1" w:name="_Toc28873"/>
      <w:bookmarkStart w:id="2" w:name="_Toc25791"/>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13181"/>
      <w:bookmarkStart w:id="4" w:name="_Toc9499"/>
      <w:bookmarkStart w:id="5" w:name="_Toc1420"/>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1.本合同的质量保证期（简称“质保期”）为1年，质保期内成交供应商对所供货物实行包修、包换、包退及合同约定的其它事项，期满后可同时提供终身(免费/有偿)维修保养服务。</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1.成交供应商必须依照招标文件的要求和投标文件的承诺，将设备安装并调试至正常运行的最佳状态。</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pStyle w:val="4"/>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（六）付款方式：合同签订生效，项目验收合格后的20个工作日内，采购人向成交供应商支付合同总金额的100%。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3BE11575"/>
    <w:rsid w:val="3BE1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Body Text First Indent 2"/>
    <w:basedOn w:val="3"/>
    <w:unhideWhenUsed/>
    <w:qFormat/>
    <w:uiPriority w:val="99"/>
    <w:pPr>
      <w:ind w:firstLine="420" w:firstLineChars="200"/>
    </w:pPr>
  </w:style>
  <w:style w:type="paragraph" w:customStyle="1" w:styleId="7">
    <w:name w:val="正文正"/>
    <w:basedOn w:val="1"/>
    <w:qFormat/>
    <w:uiPriority w:val="0"/>
    <w:pPr>
      <w:spacing w:line="560" w:lineRule="exact"/>
      <w:ind w:firstLine="561"/>
    </w:pPr>
    <w:rPr>
      <w:rFonts w:ascii="Calibri" w:hAnsi="Calibri"/>
      <w:sz w:val="28"/>
      <w:szCs w:val="24"/>
    </w:rPr>
  </w:style>
  <w:style w:type="paragraph" w:customStyle="1" w:styleId="8">
    <w:name w:val="Normal Indent"/>
    <w:basedOn w:val="9"/>
    <w:qFormat/>
    <w:uiPriority w:val="0"/>
    <w:pPr>
      <w:widowControl/>
      <w:ind w:firstLine="420"/>
      <w:jc w:val="left"/>
    </w:pPr>
    <w:rPr>
      <w:rFonts w:ascii="Times New Roman" w:hAnsi="Times New Roman"/>
      <w:kern w:val="0"/>
      <w:szCs w:val="20"/>
    </w:rPr>
  </w:style>
  <w:style w:type="paragraph" w:customStyle="1" w:styleId="9">
    <w:name w:val="正文 New"/>
    <w:next w:val="8"/>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2023-09-12T07:19:00Z</dcterms:created>
  <dc:creator>罗华秋</dc:creator>
  <cp:lastModifiedBy>罗华秋</cp:lastModifiedBy>
  <dcterms:modified xsi:type="dcterms:W3CDTF">2023-09-12T07:20:23Z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0ACFA4921C694A459E46CCF25997952B_11</vt:lpwstr>
  </property>
</Properties>
</file>