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cs="宋体"/>
          <w:b/>
          <w:bCs/>
          <w:i w:val="0"/>
          <w:iCs w:val="0"/>
          <w:color w:val="auto"/>
          <w:sz w:val="44"/>
          <w:szCs w:val="44"/>
          <w:lang w:val="zh-CN"/>
        </w:rPr>
      </w:pPr>
      <w:bookmarkStart w:id="0" w:name="_GoBack"/>
      <w:r>
        <w:rPr>
          <w:rFonts w:hint="eastAsia" w:ascii="宋体" w:hAnsi="宋体" w:cs="宋体"/>
          <w:b/>
          <w:bCs/>
          <w:i w:val="0"/>
          <w:iCs w:val="0"/>
          <w:color w:val="auto"/>
          <w:sz w:val="44"/>
          <w:szCs w:val="44"/>
          <w:lang w:val="en-US" w:eastAsia="zh-CN"/>
        </w:rPr>
        <w:t>2023年仁化县残疾人联合会辅助器具采购项目</w:t>
      </w:r>
      <w:r>
        <w:rPr>
          <w:rFonts w:hint="eastAsia" w:ascii="宋体" w:hAnsi="宋体" w:eastAsia="宋体" w:cs="宋体"/>
          <w:b/>
          <w:bCs/>
          <w:i w:val="0"/>
          <w:iCs w:val="0"/>
          <w:color w:val="auto"/>
          <w:sz w:val="44"/>
          <w:szCs w:val="44"/>
          <w:lang w:val="en-US" w:eastAsia="zh-CN"/>
        </w:rPr>
        <w:t>采</w:t>
      </w:r>
      <w:r>
        <w:rPr>
          <w:rFonts w:hint="eastAsia" w:ascii="宋体" w:hAnsi="宋体" w:eastAsia="宋体" w:cs="宋体"/>
          <w:b/>
          <w:bCs/>
          <w:i w:val="0"/>
          <w:iCs w:val="0"/>
          <w:color w:val="auto"/>
          <w:sz w:val="44"/>
          <w:szCs w:val="44"/>
        </w:rPr>
        <w:t>购需求</w:t>
      </w:r>
    </w:p>
    <w:bookmarkEnd w:id="0"/>
    <w:p>
      <w:pPr>
        <w:numPr>
          <w:ilvl w:val="0"/>
          <w:numId w:val="0"/>
        </w:numPr>
        <w:rPr>
          <w:rFonts w:hint="eastAsia" w:ascii="宋体" w:hAnsi="宋体" w:eastAsia="宋体" w:cs="宋体"/>
          <w:b/>
          <w:bCs/>
          <w:i w:val="0"/>
          <w:iCs w:val="0"/>
          <w:color w:val="auto"/>
          <w:sz w:val="21"/>
          <w:szCs w:val="21"/>
        </w:rPr>
      </w:pPr>
    </w:p>
    <w:p>
      <w:pPr>
        <w:spacing w:line="360" w:lineRule="auto"/>
        <w:outlineLvl w:val="1"/>
        <w:rPr>
          <w:rFonts w:hint="eastAsia" w:ascii="宋体" w:hAnsi="宋体" w:eastAsia="宋体" w:cs="宋体"/>
          <w:b/>
          <w:bCs/>
          <w:i w:val="0"/>
          <w:iCs w:val="0"/>
          <w:color w:val="auto"/>
          <w:szCs w:val="21"/>
          <w:highlight w:val="none"/>
        </w:rPr>
      </w:pPr>
      <w:r>
        <w:rPr>
          <w:rFonts w:hint="eastAsia" w:ascii="宋体" w:hAnsi="宋体" w:eastAsia="宋体" w:cs="宋体"/>
          <w:b/>
          <w:bCs/>
          <w:i w:val="0"/>
          <w:iCs w:val="0"/>
          <w:color w:val="auto"/>
          <w:sz w:val="21"/>
          <w:szCs w:val="21"/>
          <w:lang w:val="en-US" w:eastAsia="zh-CN"/>
        </w:rPr>
        <w:t>一</w:t>
      </w:r>
      <w:r>
        <w:rPr>
          <w:rFonts w:hint="eastAsia" w:ascii="宋体" w:hAnsi="宋体" w:eastAsia="宋体" w:cs="宋体"/>
          <w:b/>
          <w:bCs/>
          <w:i w:val="0"/>
          <w:iCs w:val="0"/>
          <w:color w:val="auto"/>
          <w:szCs w:val="21"/>
          <w:lang w:val="en-US" w:eastAsia="zh-CN"/>
        </w:rPr>
        <w:t>、</w:t>
      </w:r>
      <w:r>
        <w:rPr>
          <w:rFonts w:hint="eastAsia" w:ascii="宋体" w:hAnsi="宋体" w:eastAsia="宋体" w:cs="宋体"/>
          <w:b/>
          <w:bCs/>
          <w:i w:val="0"/>
          <w:iCs w:val="0"/>
          <w:color w:val="auto"/>
          <w:szCs w:val="21"/>
        </w:rPr>
        <w:t>采购项目内容</w:t>
      </w:r>
    </w:p>
    <w:p>
      <w:pPr>
        <w:keepNext w:val="0"/>
        <w:keepLines w:val="0"/>
        <w:pageBreakBefore w:val="0"/>
        <w:widowControl w:val="0"/>
        <w:kinsoku/>
        <w:wordWrap/>
        <w:overflowPunct/>
        <w:topLinePunct w:val="0"/>
        <w:autoSpaceDE/>
        <w:autoSpaceDN/>
        <w:bidi w:val="0"/>
        <w:adjustRightInd/>
        <w:snapToGrid/>
        <w:spacing w:line="480" w:lineRule="exact"/>
        <w:ind w:firstLine="422" w:firstLineChars="200"/>
        <w:textAlignment w:val="auto"/>
        <w:rPr>
          <w:rFonts w:hint="eastAsia" w:ascii="宋体" w:hAnsi="宋体" w:eastAsia="宋体" w:cs="宋体"/>
          <w:b/>
          <w:bCs/>
          <w:color w:val="auto"/>
          <w:szCs w:val="21"/>
          <w:highlight w:val="none"/>
          <w:lang w:val="en-US" w:eastAsia="zh-CN"/>
        </w:rPr>
      </w:pPr>
      <w:r>
        <w:rPr>
          <w:rFonts w:hint="eastAsia" w:ascii="宋体" w:hAnsi="宋体" w:cs="宋体"/>
          <w:b/>
          <w:bCs/>
          <w:color w:val="auto"/>
          <w:szCs w:val="21"/>
          <w:highlight w:val="none"/>
          <w:lang w:val="en-US" w:eastAsia="zh-CN"/>
        </w:rPr>
        <w:t>（一）</w:t>
      </w:r>
      <w:r>
        <w:rPr>
          <w:rFonts w:hint="eastAsia" w:ascii="宋体" w:hAnsi="宋体" w:eastAsia="宋体" w:cs="宋体"/>
          <w:b/>
          <w:bCs/>
          <w:color w:val="auto"/>
          <w:szCs w:val="21"/>
          <w:highlight w:val="none"/>
          <w:lang w:val="en-US" w:eastAsia="zh-CN"/>
        </w:rPr>
        <w:t>采购需求</w:t>
      </w:r>
    </w:p>
    <w:tbl>
      <w:tblPr>
        <w:tblStyle w:val="3"/>
        <w:tblW w:w="0" w:type="auto"/>
        <w:jc w:val="center"/>
        <w:tblLayout w:type="autofit"/>
        <w:tblCellMar>
          <w:top w:w="0" w:type="dxa"/>
          <w:left w:w="0" w:type="dxa"/>
          <w:bottom w:w="0" w:type="dxa"/>
          <w:right w:w="0" w:type="dxa"/>
        </w:tblCellMar>
      </w:tblPr>
      <w:tblGrid>
        <w:gridCol w:w="862"/>
        <w:gridCol w:w="2234"/>
        <w:gridCol w:w="915"/>
        <w:gridCol w:w="2615"/>
        <w:gridCol w:w="1710"/>
      </w:tblGrid>
      <w:tr>
        <w:tblPrEx>
          <w:tblCellMar>
            <w:top w:w="0" w:type="dxa"/>
            <w:left w:w="0" w:type="dxa"/>
            <w:bottom w:w="0" w:type="dxa"/>
            <w:right w:w="0" w:type="dxa"/>
          </w:tblCellMar>
        </w:tblPrEx>
        <w:trPr>
          <w:trHeight w:val="454" w:hRule="atLeast"/>
          <w:jc w:val="center"/>
        </w:trPr>
        <w:tc>
          <w:tcPr>
            <w:tcW w:w="862"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宋体" w:hAnsi="宋体" w:eastAsia="宋体" w:cs="宋体"/>
                <w:b w:val="0"/>
                <w:bCs w:val="0"/>
                <w:color w:val="auto"/>
                <w:szCs w:val="21"/>
                <w:highlight w:val="none"/>
                <w:lang w:val="en-US" w:eastAsia="zh-CN"/>
              </w:rPr>
            </w:pPr>
            <w:r>
              <w:rPr>
                <w:rFonts w:hint="eastAsia" w:ascii="宋体" w:hAnsi="宋体" w:eastAsia="宋体" w:cs="宋体"/>
                <w:b w:val="0"/>
                <w:bCs w:val="0"/>
                <w:color w:val="auto"/>
                <w:szCs w:val="21"/>
                <w:highlight w:val="none"/>
                <w:lang w:val="en-US" w:eastAsia="zh-CN"/>
              </w:rPr>
              <w:t>序号</w:t>
            </w:r>
          </w:p>
        </w:tc>
        <w:tc>
          <w:tcPr>
            <w:tcW w:w="2234"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default" w:ascii="宋体" w:hAnsi="宋体" w:eastAsia="宋体" w:cs="宋体"/>
                <w:b w:val="0"/>
                <w:bCs w:val="0"/>
                <w:color w:val="auto"/>
                <w:szCs w:val="21"/>
                <w:highlight w:val="none"/>
                <w:lang w:val="en-US" w:eastAsia="zh-CN"/>
              </w:rPr>
            </w:pPr>
            <w:r>
              <w:rPr>
                <w:rFonts w:hint="eastAsia" w:ascii="宋体" w:hAnsi="宋体" w:eastAsia="宋体" w:cs="宋体"/>
                <w:b w:val="0"/>
                <w:bCs w:val="0"/>
                <w:color w:val="auto"/>
                <w:szCs w:val="21"/>
                <w:highlight w:val="none"/>
                <w:lang w:val="en-US" w:eastAsia="zh-CN"/>
              </w:rPr>
              <w:t>采购内容</w:t>
            </w:r>
          </w:p>
        </w:tc>
        <w:tc>
          <w:tcPr>
            <w:tcW w:w="91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default" w:ascii="宋体" w:hAnsi="宋体" w:eastAsia="宋体" w:cs="宋体"/>
                <w:b w:val="0"/>
                <w:bCs w:val="0"/>
                <w:color w:val="auto"/>
                <w:szCs w:val="21"/>
                <w:highlight w:val="none"/>
                <w:lang w:val="en-US" w:eastAsia="zh-CN"/>
              </w:rPr>
            </w:pPr>
            <w:r>
              <w:rPr>
                <w:rFonts w:hint="eastAsia" w:ascii="宋体" w:hAnsi="宋体" w:eastAsia="宋体" w:cs="宋体"/>
                <w:b w:val="0"/>
                <w:bCs w:val="0"/>
                <w:color w:val="auto"/>
                <w:szCs w:val="21"/>
                <w:highlight w:val="none"/>
                <w:lang w:val="en-US" w:eastAsia="zh-CN"/>
              </w:rPr>
              <w:t>数量</w:t>
            </w:r>
          </w:p>
        </w:tc>
        <w:tc>
          <w:tcPr>
            <w:tcW w:w="261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宋体" w:hAnsi="宋体" w:eastAsia="宋体" w:cs="宋体"/>
                <w:b w:val="0"/>
                <w:bCs w:val="0"/>
                <w:color w:val="auto"/>
                <w:szCs w:val="21"/>
                <w:highlight w:val="none"/>
                <w:lang w:val="en-US" w:eastAsia="zh-CN"/>
              </w:rPr>
            </w:pPr>
            <w:r>
              <w:rPr>
                <w:rFonts w:hint="eastAsia" w:ascii="宋体" w:hAnsi="宋体" w:cs="宋体"/>
                <w:b w:val="0"/>
                <w:bCs w:val="0"/>
                <w:color w:val="auto"/>
                <w:szCs w:val="21"/>
                <w:highlight w:val="none"/>
                <w:lang w:val="en-US" w:eastAsia="zh-CN"/>
              </w:rPr>
              <w:t>交货</w:t>
            </w:r>
            <w:r>
              <w:rPr>
                <w:rFonts w:hint="eastAsia" w:ascii="宋体" w:hAnsi="宋体" w:eastAsia="宋体" w:cs="宋体"/>
                <w:b w:val="0"/>
                <w:bCs w:val="0"/>
                <w:color w:val="auto"/>
                <w:szCs w:val="21"/>
                <w:highlight w:val="none"/>
                <w:lang w:val="en-US" w:eastAsia="zh-CN"/>
              </w:rPr>
              <w:t>期</w:t>
            </w:r>
          </w:p>
        </w:tc>
        <w:tc>
          <w:tcPr>
            <w:tcW w:w="171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default" w:ascii="宋体" w:hAnsi="宋体" w:eastAsia="宋体" w:cs="宋体"/>
                <w:b w:val="0"/>
                <w:bCs w:val="0"/>
                <w:color w:val="auto"/>
                <w:szCs w:val="21"/>
                <w:highlight w:val="none"/>
                <w:lang w:val="en-US" w:eastAsia="zh-CN"/>
              </w:rPr>
            </w:pPr>
            <w:r>
              <w:rPr>
                <w:rFonts w:hint="eastAsia" w:ascii="宋体" w:hAnsi="宋体" w:eastAsia="宋体" w:cs="宋体"/>
                <w:b w:val="0"/>
                <w:bCs w:val="0"/>
                <w:color w:val="auto"/>
                <w:szCs w:val="21"/>
                <w:highlight w:val="none"/>
                <w:lang w:val="en-US" w:eastAsia="zh-CN"/>
              </w:rPr>
              <w:t>预算金额（元）</w:t>
            </w:r>
          </w:p>
        </w:tc>
      </w:tr>
      <w:tr>
        <w:tblPrEx>
          <w:tblCellMar>
            <w:top w:w="0" w:type="dxa"/>
            <w:left w:w="0" w:type="dxa"/>
            <w:bottom w:w="0" w:type="dxa"/>
            <w:right w:w="0" w:type="dxa"/>
          </w:tblCellMar>
        </w:tblPrEx>
        <w:trPr>
          <w:trHeight w:val="889" w:hRule="atLeast"/>
          <w:jc w:val="center"/>
        </w:trPr>
        <w:tc>
          <w:tcPr>
            <w:tcW w:w="862"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480" w:lineRule="exact"/>
              <w:ind w:firstLine="420" w:firstLineChars="200"/>
              <w:jc w:val="both"/>
              <w:textAlignment w:val="auto"/>
              <w:rPr>
                <w:rFonts w:hint="eastAsia" w:ascii="宋体" w:hAnsi="宋体" w:eastAsia="宋体" w:cs="宋体"/>
                <w:b w:val="0"/>
                <w:bCs w:val="0"/>
                <w:color w:val="auto"/>
                <w:szCs w:val="21"/>
                <w:highlight w:val="none"/>
                <w:lang w:val="en-US" w:eastAsia="zh-CN"/>
              </w:rPr>
            </w:pPr>
            <w:r>
              <w:rPr>
                <w:rFonts w:hint="eastAsia" w:ascii="宋体" w:hAnsi="宋体" w:eastAsia="宋体" w:cs="宋体"/>
                <w:b w:val="0"/>
                <w:bCs w:val="0"/>
                <w:color w:val="auto"/>
                <w:szCs w:val="21"/>
                <w:highlight w:val="none"/>
                <w:lang w:val="en-US" w:eastAsia="zh-CN"/>
              </w:rPr>
              <w:t>1</w:t>
            </w:r>
          </w:p>
        </w:tc>
        <w:tc>
          <w:tcPr>
            <w:tcW w:w="2234"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eastAsia="宋体" w:cs="宋体"/>
                <w:b w:val="0"/>
                <w:bCs w:val="0"/>
                <w:color w:val="auto"/>
                <w:szCs w:val="21"/>
                <w:highlight w:val="none"/>
                <w:lang w:val="en-US" w:eastAsia="zh-CN"/>
              </w:rPr>
            </w:pPr>
            <w:r>
              <w:rPr>
                <w:rFonts w:hint="eastAsia" w:ascii="宋体" w:hAnsi="宋体" w:eastAsia="宋体" w:cs="宋体"/>
                <w:i w:val="0"/>
                <w:iCs w:val="0"/>
                <w:color w:val="auto"/>
                <w:sz w:val="21"/>
                <w:szCs w:val="21"/>
                <w:highlight w:val="none"/>
                <w:lang w:eastAsia="zh-CN"/>
              </w:rPr>
              <w:t>2023年仁化县残疾人联合会辅助器具采购项目</w:t>
            </w:r>
          </w:p>
        </w:tc>
        <w:tc>
          <w:tcPr>
            <w:tcW w:w="91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eastAsia="宋体" w:cs="宋体"/>
                <w:b w:val="0"/>
                <w:bCs w:val="0"/>
                <w:color w:val="auto"/>
                <w:szCs w:val="21"/>
                <w:highlight w:val="none"/>
                <w:lang w:val="en-US" w:eastAsia="zh-CN"/>
              </w:rPr>
            </w:pPr>
            <w:r>
              <w:rPr>
                <w:rFonts w:hint="eastAsia" w:ascii="宋体" w:hAnsi="宋体" w:eastAsia="宋体" w:cs="宋体"/>
                <w:b w:val="0"/>
                <w:bCs w:val="0"/>
                <w:color w:val="auto"/>
                <w:szCs w:val="21"/>
                <w:highlight w:val="none"/>
                <w:lang w:val="en-US" w:eastAsia="zh-CN"/>
              </w:rPr>
              <w:t>1项</w:t>
            </w:r>
          </w:p>
        </w:tc>
        <w:tc>
          <w:tcPr>
            <w:tcW w:w="261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eastAsia="宋体" w:cs="宋体"/>
                <w:b w:val="0"/>
                <w:bCs w:val="0"/>
                <w:color w:val="auto"/>
                <w:szCs w:val="21"/>
                <w:highlight w:val="none"/>
                <w:lang w:val="en-US" w:eastAsia="zh-CN"/>
              </w:rPr>
            </w:pPr>
            <w:r>
              <w:rPr>
                <w:rFonts w:hint="eastAsia" w:ascii="宋体" w:hAnsi="宋体" w:cs="宋体"/>
                <w:b w:val="0"/>
                <w:bCs w:val="0"/>
                <w:color w:val="auto"/>
                <w:szCs w:val="21"/>
                <w:highlight w:val="none"/>
                <w:lang w:val="en-US" w:eastAsia="zh-CN"/>
              </w:rPr>
              <w:t>自合同签订之日起30个日历天内完成供货及验收合格。</w:t>
            </w:r>
          </w:p>
        </w:tc>
        <w:tc>
          <w:tcPr>
            <w:tcW w:w="171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eastAsia="宋体" w:cs="宋体"/>
                <w:b w:val="0"/>
                <w:bCs w:val="0"/>
                <w:color w:val="auto"/>
                <w:szCs w:val="21"/>
                <w:highlight w:val="none"/>
                <w:lang w:val="en-US" w:eastAsia="zh-CN"/>
              </w:rPr>
            </w:pPr>
            <w:r>
              <w:rPr>
                <w:rFonts w:hint="eastAsia" w:ascii="宋体" w:hAnsi="宋体" w:eastAsia="宋体" w:cs="宋体"/>
                <w:i w:val="0"/>
                <w:iCs w:val="0"/>
                <w:color w:val="auto"/>
                <w:sz w:val="21"/>
                <w:szCs w:val="21"/>
                <w:highlight w:val="none"/>
                <w:lang w:val="en-US" w:eastAsia="zh-CN"/>
              </w:rPr>
              <w:t>98,000.00</w:t>
            </w:r>
          </w:p>
        </w:tc>
      </w:tr>
    </w:tbl>
    <w:p>
      <w:pPr>
        <w:keepNext w:val="0"/>
        <w:keepLines w:val="0"/>
        <w:pageBreakBefore w:val="0"/>
        <w:widowControl w:val="0"/>
        <w:kinsoku/>
        <w:wordWrap/>
        <w:overflowPunct/>
        <w:topLinePunct w:val="0"/>
        <w:autoSpaceDE/>
        <w:autoSpaceDN/>
        <w:bidi w:val="0"/>
        <w:adjustRightInd/>
        <w:snapToGrid/>
        <w:spacing w:line="360" w:lineRule="auto"/>
        <w:ind w:left="1052" w:leftChars="300" w:hanging="422" w:hangingChars="200"/>
        <w:textAlignment w:val="auto"/>
        <w:rPr>
          <w:rFonts w:hint="eastAsia" w:ascii="宋体" w:hAnsi="宋体" w:eastAsia="宋体" w:cs="宋体"/>
          <w:b/>
          <w:bCs/>
          <w:color w:val="auto"/>
          <w:sz w:val="21"/>
          <w:szCs w:val="21"/>
          <w:highlight w:val="none"/>
          <w:u w:val="none"/>
        </w:rPr>
      </w:pPr>
      <w:r>
        <w:rPr>
          <w:rFonts w:hint="eastAsia" w:ascii="宋体" w:hAnsi="宋体" w:eastAsia="宋体" w:cs="宋体"/>
          <w:b/>
          <w:bCs/>
          <w:color w:val="auto"/>
          <w:sz w:val="21"/>
          <w:szCs w:val="21"/>
          <w:highlight w:val="none"/>
          <w:u w:val="none"/>
        </w:rPr>
        <w:t>注：1、报价超出预算金额的列为无效</w:t>
      </w:r>
      <w:r>
        <w:rPr>
          <w:rFonts w:hint="eastAsia" w:ascii="宋体" w:hAnsi="宋体" w:cs="宋体"/>
          <w:b/>
          <w:bCs/>
          <w:color w:val="auto"/>
          <w:sz w:val="21"/>
          <w:szCs w:val="21"/>
          <w:highlight w:val="none"/>
          <w:u w:val="none"/>
          <w:lang w:eastAsia="zh-CN"/>
        </w:rPr>
        <w:t>响应</w:t>
      </w:r>
      <w:r>
        <w:rPr>
          <w:rFonts w:hint="eastAsia" w:ascii="宋体" w:hAnsi="宋体" w:eastAsia="宋体" w:cs="宋体"/>
          <w:b/>
          <w:bCs/>
          <w:color w:val="auto"/>
          <w:sz w:val="21"/>
          <w:szCs w:val="21"/>
          <w:highlight w:val="none"/>
          <w:u w:val="none"/>
        </w:rPr>
        <w:t>处理。</w:t>
      </w:r>
    </w:p>
    <w:p>
      <w:pPr>
        <w:keepNext w:val="0"/>
        <w:keepLines w:val="0"/>
        <w:pageBreakBefore w:val="0"/>
        <w:widowControl w:val="0"/>
        <w:kinsoku/>
        <w:wordWrap/>
        <w:overflowPunct/>
        <w:topLinePunct w:val="0"/>
        <w:autoSpaceDE/>
        <w:autoSpaceDN/>
        <w:bidi w:val="0"/>
        <w:adjustRightInd/>
        <w:snapToGrid/>
        <w:spacing w:line="360" w:lineRule="auto"/>
        <w:ind w:left="1052" w:leftChars="300" w:hanging="422" w:hangingChars="200"/>
        <w:textAlignment w:val="auto"/>
        <w:rPr>
          <w:rFonts w:hint="eastAsia" w:ascii="宋体" w:hAnsi="宋体" w:eastAsia="宋体" w:cs="宋体"/>
          <w:b/>
          <w:bCs/>
          <w:color w:val="auto"/>
          <w:sz w:val="21"/>
          <w:szCs w:val="21"/>
          <w:highlight w:val="none"/>
          <w:u w:val="none"/>
        </w:rPr>
      </w:pPr>
      <w:r>
        <w:rPr>
          <w:rFonts w:hint="eastAsia" w:ascii="宋体" w:hAnsi="宋体" w:eastAsia="宋体" w:cs="宋体"/>
          <w:b/>
          <w:bCs/>
          <w:color w:val="auto"/>
          <w:sz w:val="21"/>
          <w:szCs w:val="21"/>
          <w:highlight w:val="none"/>
          <w:u w:val="none"/>
        </w:rPr>
        <w:t>2、</w:t>
      </w:r>
      <w:r>
        <w:rPr>
          <w:rFonts w:hint="eastAsia" w:ascii="宋体" w:hAnsi="宋体" w:cs="宋体"/>
          <w:b/>
          <w:bCs/>
          <w:color w:val="auto"/>
          <w:sz w:val="21"/>
          <w:szCs w:val="21"/>
          <w:highlight w:val="none"/>
          <w:u w:val="none"/>
          <w:lang w:eastAsia="zh-CN"/>
        </w:rPr>
        <w:t>供应商</w:t>
      </w:r>
      <w:r>
        <w:rPr>
          <w:rFonts w:hint="eastAsia" w:ascii="宋体" w:hAnsi="宋体" w:eastAsia="宋体" w:cs="宋体"/>
          <w:b/>
          <w:bCs/>
          <w:color w:val="auto"/>
          <w:sz w:val="21"/>
          <w:szCs w:val="21"/>
          <w:highlight w:val="none"/>
          <w:u w:val="none"/>
        </w:rPr>
        <w:t>必须对本项目的全部内容进行报价，如有缺漏，将导致无效</w:t>
      </w:r>
      <w:r>
        <w:rPr>
          <w:rFonts w:hint="eastAsia" w:ascii="宋体" w:hAnsi="宋体" w:cs="宋体"/>
          <w:b/>
          <w:bCs/>
          <w:color w:val="auto"/>
          <w:sz w:val="21"/>
          <w:szCs w:val="21"/>
          <w:highlight w:val="none"/>
          <w:u w:val="none"/>
          <w:lang w:eastAsia="zh-CN"/>
        </w:rPr>
        <w:t>响应</w:t>
      </w:r>
      <w:r>
        <w:rPr>
          <w:rFonts w:hint="eastAsia" w:ascii="宋体" w:hAnsi="宋体" w:eastAsia="宋体" w:cs="宋体"/>
          <w:b/>
          <w:bCs/>
          <w:color w:val="auto"/>
          <w:sz w:val="21"/>
          <w:szCs w:val="21"/>
          <w:highlight w:val="none"/>
          <w:u w:val="none"/>
        </w:rPr>
        <w:t>。</w:t>
      </w:r>
    </w:p>
    <w:p>
      <w:pPr>
        <w:keepNext w:val="0"/>
        <w:keepLines w:val="0"/>
        <w:pageBreakBefore w:val="0"/>
        <w:widowControl w:val="0"/>
        <w:kinsoku/>
        <w:wordWrap/>
        <w:overflowPunct/>
        <w:topLinePunct w:val="0"/>
        <w:autoSpaceDE/>
        <w:autoSpaceDN/>
        <w:bidi w:val="0"/>
        <w:adjustRightInd/>
        <w:snapToGrid/>
        <w:spacing w:line="360" w:lineRule="auto"/>
        <w:ind w:left="1052" w:leftChars="300" w:hanging="422" w:hangingChars="200"/>
        <w:textAlignment w:val="auto"/>
        <w:rPr>
          <w:rFonts w:hint="eastAsia" w:ascii="宋体" w:hAnsi="宋体" w:eastAsia="宋体" w:cs="宋体"/>
          <w:b/>
          <w:bCs/>
          <w:color w:val="auto"/>
          <w:sz w:val="21"/>
          <w:szCs w:val="21"/>
          <w:highlight w:val="none"/>
          <w:u w:val="none"/>
        </w:rPr>
      </w:pPr>
      <w:r>
        <w:rPr>
          <w:rFonts w:hint="eastAsia" w:ascii="宋体" w:hAnsi="宋体" w:eastAsia="宋体" w:cs="宋体"/>
          <w:b/>
          <w:bCs/>
          <w:color w:val="auto"/>
          <w:sz w:val="21"/>
          <w:szCs w:val="21"/>
          <w:highlight w:val="none"/>
          <w:u w:val="none"/>
        </w:rPr>
        <w:t>3、报价应为人民币含税全包价，包括测试、运输、安装调试、验收等一切费用。</w:t>
      </w:r>
    </w:p>
    <w:p>
      <w:pPr>
        <w:keepNext w:val="0"/>
        <w:keepLines w:val="0"/>
        <w:pageBreakBefore w:val="0"/>
        <w:widowControl w:val="0"/>
        <w:kinsoku/>
        <w:wordWrap/>
        <w:overflowPunct/>
        <w:topLinePunct w:val="0"/>
        <w:autoSpaceDE/>
        <w:autoSpaceDN/>
        <w:bidi w:val="0"/>
        <w:adjustRightInd/>
        <w:snapToGrid/>
        <w:spacing w:line="480" w:lineRule="exact"/>
        <w:ind w:firstLine="422" w:firstLineChars="200"/>
        <w:textAlignment w:val="auto"/>
        <w:rPr>
          <w:rFonts w:hint="eastAsia" w:ascii="宋体" w:hAnsi="宋体" w:eastAsia="宋体" w:cs="宋体"/>
          <w:b/>
          <w:bCs/>
          <w:color w:val="auto"/>
          <w:szCs w:val="21"/>
          <w:highlight w:val="none"/>
          <w:lang w:val="en-US" w:eastAsia="zh-CN"/>
        </w:rPr>
      </w:pPr>
      <w:r>
        <w:rPr>
          <w:rFonts w:hint="eastAsia" w:ascii="宋体" w:hAnsi="宋体" w:cs="宋体"/>
          <w:b/>
          <w:bCs/>
          <w:color w:val="auto"/>
          <w:szCs w:val="21"/>
          <w:highlight w:val="none"/>
          <w:lang w:val="en-US" w:eastAsia="zh-CN"/>
        </w:rPr>
        <w:t>（二）采购项目需求汇总表及详细技术参数</w:t>
      </w:r>
    </w:p>
    <w:tbl>
      <w:tblPr>
        <w:tblStyle w:val="3"/>
        <w:tblW w:w="8738"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814"/>
        <w:gridCol w:w="1307"/>
        <w:gridCol w:w="4846"/>
        <w:gridCol w:w="800"/>
        <w:gridCol w:w="97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5" w:hRule="atLeast"/>
          <w:jc w:val="center"/>
        </w:trPr>
        <w:tc>
          <w:tcPr>
            <w:tcW w:w="814" w:type="dxa"/>
            <w:tcBorders>
              <w:top w:val="single" w:color="auto" w:sz="4" w:space="0"/>
              <w:left w:val="single" w:color="auto" w:sz="4" w:space="0"/>
              <w:bottom w:val="single" w:color="auto" w:sz="4" w:space="0"/>
              <w:right w:val="single" w:color="000000" w:sz="4" w:space="0"/>
            </w:tcBorders>
            <w:noWrap w:val="0"/>
            <w:vAlign w:val="center"/>
          </w:tcPr>
          <w:p>
            <w:pPr>
              <w:jc w:val="center"/>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序号</w:t>
            </w:r>
          </w:p>
        </w:tc>
        <w:tc>
          <w:tcPr>
            <w:tcW w:w="1307" w:type="dxa"/>
            <w:tcBorders>
              <w:top w:val="single" w:color="auto" w:sz="4" w:space="0"/>
              <w:left w:val="single" w:color="000000" w:sz="4" w:space="0"/>
              <w:bottom w:val="single" w:color="auto" w:sz="4" w:space="0"/>
              <w:right w:val="single" w:color="000000" w:sz="4" w:space="0"/>
            </w:tcBorders>
            <w:noWrap w:val="0"/>
            <w:vAlign w:val="center"/>
          </w:tcPr>
          <w:p>
            <w:pPr>
              <w:jc w:val="center"/>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rPr>
              <w:t>辅助器具名称</w:t>
            </w:r>
          </w:p>
        </w:tc>
        <w:tc>
          <w:tcPr>
            <w:tcW w:w="4846" w:type="dxa"/>
            <w:tcBorders>
              <w:top w:val="single" w:color="auto" w:sz="4" w:space="0"/>
              <w:left w:val="single" w:color="000000" w:sz="4" w:space="0"/>
              <w:bottom w:val="single" w:color="auto" w:sz="4" w:space="0"/>
              <w:right w:val="single" w:color="000000" w:sz="4" w:space="0"/>
            </w:tcBorders>
            <w:noWrap w:val="0"/>
            <w:vAlign w:val="center"/>
          </w:tcPr>
          <w:p>
            <w:pPr>
              <w:jc w:val="center"/>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产品参数</w:t>
            </w:r>
          </w:p>
        </w:tc>
        <w:tc>
          <w:tcPr>
            <w:tcW w:w="800" w:type="dxa"/>
            <w:tcBorders>
              <w:top w:val="single" w:color="auto" w:sz="4" w:space="0"/>
              <w:left w:val="single" w:color="000000" w:sz="4" w:space="0"/>
              <w:bottom w:val="single" w:color="auto" w:sz="4" w:space="0"/>
              <w:right w:val="single" w:color="000000" w:sz="4" w:space="0"/>
            </w:tcBorders>
            <w:noWrap w:val="0"/>
            <w:vAlign w:val="center"/>
          </w:tcPr>
          <w:p>
            <w:pPr>
              <w:jc w:val="center"/>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单位</w:t>
            </w:r>
          </w:p>
        </w:tc>
        <w:tc>
          <w:tcPr>
            <w:tcW w:w="971" w:type="dxa"/>
            <w:tcBorders>
              <w:top w:val="single" w:color="auto" w:sz="4" w:space="0"/>
              <w:left w:val="single" w:color="000000" w:sz="4" w:space="0"/>
              <w:bottom w:val="single" w:color="auto" w:sz="4" w:space="0"/>
              <w:right w:val="single" w:color="000000" w:sz="4" w:space="0"/>
            </w:tcBorders>
            <w:noWrap w:val="0"/>
            <w:vAlign w:val="center"/>
          </w:tcPr>
          <w:p>
            <w:pPr>
              <w:jc w:val="center"/>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数量</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5" w:hRule="atLeast"/>
          <w:jc w:val="center"/>
        </w:trPr>
        <w:tc>
          <w:tcPr>
            <w:tcW w:w="814" w:type="dxa"/>
            <w:tcBorders>
              <w:top w:val="single" w:color="auto" w:sz="4" w:space="0"/>
              <w:left w:val="single" w:color="auto" w:sz="4" w:space="0"/>
              <w:bottom w:val="single" w:color="auto" w:sz="4" w:space="0"/>
              <w:right w:val="single" w:color="000000" w:sz="4" w:space="0"/>
            </w:tcBorders>
            <w:noWrap w:val="0"/>
            <w:vAlign w:val="center"/>
          </w:tcPr>
          <w:p>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i w:val="0"/>
                <w:iCs w:val="0"/>
                <w:color w:val="auto"/>
                <w:kern w:val="0"/>
                <w:sz w:val="21"/>
                <w:szCs w:val="21"/>
                <w:highlight w:val="none"/>
                <w:u w:val="none"/>
                <w:lang w:val="en-US" w:eastAsia="zh-CN" w:bidi="ar"/>
              </w:rPr>
            </w:pPr>
          </w:p>
        </w:tc>
        <w:tc>
          <w:tcPr>
            <w:tcW w:w="1307" w:type="dxa"/>
            <w:tcBorders>
              <w:top w:val="single" w:color="auto" w:sz="4" w:space="0"/>
              <w:left w:val="single" w:color="000000" w:sz="4" w:space="0"/>
              <w:bottom w:val="single" w:color="auto" w:sz="4" w:space="0"/>
              <w:right w:val="single" w:color="000000" w:sz="4" w:space="0"/>
            </w:tcBorders>
            <w:noWrap w:val="0"/>
            <w:vAlign w:val="center"/>
          </w:tcPr>
          <w:p>
            <w:pPr>
              <w:jc w:val="center"/>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助听器（耳背/定制式）</w:t>
            </w:r>
          </w:p>
        </w:tc>
        <w:tc>
          <w:tcPr>
            <w:tcW w:w="4846" w:type="dxa"/>
            <w:tcBorders>
              <w:top w:val="single" w:color="auto" w:sz="4" w:space="0"/>
              <w:left w:val="single" w:color="000000" w:sz="4" w:space="0"/>
              <w:bottom w:val="single" w:color="auto" w:sz="4" w:space="0"/>
              <w:right w:val="single" w:color="000000" w:sz="4" w:space="0"/>
            </w:tcBorders>
            <w:noWrap w:val="0"/>
            <w:vAlign w:val="center"/>
          </w:tcPr>
          <w:p>
            <w:pPr>
              <w:keepNext w:val="0"/>
              <w:keepLines w:val="0"/>
              <w:widowControl/>
              <w:numPr>
                <w:ilvl w:val="0"/>
                <w:numId w:val="2"/>
              </w:numPr>
              <w:suppressLineNumbers w:val="0"/>
              <w:jc w:val="left"/>
              <w:textAlignment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全数字信号处理，电脑编程助听器；</w:t>
            </w:r>
          </w:p>
          <w:p>
            <w:pPr>
              <w:keepNext w:val="0"/>
              <w:keepLines w:val="0"/>
              <w:widowControl/>
              <w:numPr>
                <w:ilvl w:val="0"/>
                <w:numId w:val="2"/>
              </w:numPr>
              <w:suppressLineNumbers w:val="0"/>
              <w:jc w:val="left"/>
              <w:textAlignment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数据记忆功能；</w:t>
            </w:r>
          </w:p>
          <w:p>
            <w:pPr>
              <w:keepNext w:val="0"/>
              <w:keepLines w:val="0"/>
              <w:widowControl/>
              <w:numPr>
                <w:ilvl w:val="0"/>
                <w:numId w:val="2"/>
              </w:numPr>
              <w:suppressLineNumbers w:val="0"/>
              <w:jc w:val="left"/>
              <w:textAlignment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双麦克风技术，三重固定方向性；</w:t>
            </w:r>
          </w:p>
          <w:p>
            <w:pPr>
              <w:keepNext w:val="0"/>
              <w:keepLines w:val="0"/>
              <w:widowControl/>
              <w:numPr>
                <w:ilvl w:val="0"/>
                <w:numId w:val="2"/>
              </w:numPr>
              <w:suppressLineNumbers w:val="0"/>
              <w:jc w:val="left"/>
              <w:textAlignment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6500Hz宽频技术；</w:t>
            </w:r>
          </w:p>
          <w:p>
            <w:pPr>
              <w:keepNext w:val="0"/>
              <w:keepLines w:val="0"/>
              <w:widowControl/>
              <w:numPr>
                <w:ilvl w:val="0"/>
                <w:numId w:val="2"/>
              </w:numPr>
              <w:suppressLineNumbers w:val="0"/>
              <w:jc w:val="left"/>
              <w:textAlignment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多通道信号处理≥4个；</w:t>
            </w:r>
          </w:p>
          <w:p>
            <w:pPr>
              <w:keepNext w:val="0"/>
              <w:keepLines w:val="0"/>
              <w:widowControl/>
              <w:numPr>
                <w:ilvl w:val="0"/>
                <w:numId w:val="2"/>
              </w:numPr>
              <w:suppressLineNumbers w:val="0"/>
              <w:jc w:val="left"/>
              <w:textAlignment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聆听程序设置≥4个；</w:t>
            </w:r>
          </w:p>
          <w:p>
            <w:pPr>
              <w:keepNext w:val="0"/>
              <w:keepLines w:val="0"/>
              <w:widowControl/>
              <w:numPr>
                <w:ilvl w:val="0"/>
                <w:numId w:val="2"/>
              </w:numPr>
              <w:suppressLineNumbers w:val="0"/>
              <w:jc w:val="left"/>
              <w:textAlignment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DFC自动声反馈抑制设置；</w:t>
            </w:r>
          </w:p>
          <w:p>
            <w:pPr>
              <w:keepNext w:val="0"/>
              <w:keepLines w:val="0"/>
              <w:widowControl/>
              <w:numPr>
                <w:ilvl w:val="0"/>
                <w:numId w:val="2"/>
              </w:numPr>
              <w:suppressLineNumbers w:val="0"/>
              <w:jc w:val="left"/>
              <w:textAlignment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Corda2开发验配；</w:t>
            </w:r>
          </w:p>
          <w:p>
            <w:pPr>
              <w:keepNext w:val="0"/>
              <w:keepLines w:val="0"/>
              <w:widowControl/>
              <w:numPr>
                <w:ilvl w:val="0"/>
                <w:numId w:val="2"/>
              </w:numPr>
              <w:suppressLineNumbers w:val="0"/>
              <w:jc w:val="left"/>
              <w:textAlignment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饱和声压级≥126dBSPL（IEC118-7 2cc耦合腔）；</w:t>
            </w:r>
          </w:p>
          <w:p>
            <w:pPr>
              <w:keepNext w:val="0"/>
              <w:keepLines w:val="0"/>
              <w:widowControl/>
              <w:numPr>
                <w:ilvl w:val="0"/>
                <w:numId w:val="2"/>
              </w:numPr>
              <w:suppressLineNumbers w:val="0"/>
              <w:jc w:val="left"/>
              <w:textAlignment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满档声增益≥62dB；</w:t>
            </w:r>
          </w:p>
          <w:p>
            <w:pPr>
              <w:keepNext w:val="0"/>
              <w:keepLines w:val="0"/>
              <w:widowControl/>
              <w:numPr>
                <w:ilvl w:val="0"/>
                <w:numId w:val="2"/>
              </w:numPr>
              <w:suppressLineNumbers w:val="0"/>
              <w:jc w:val="left"/>
              <w:textAlignment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频率范围：至少在200-5700Hz之间；</w:t>
            </w:r>
          </w:p>
          <w:p>
            <w:pPr>
              <w:keepNext w:val="0"/>
              <w:keepLines w:val="0"/>
              <w:widowControl/>
              <w:numPr>
                <w:ilvl w:val="0"/>
                <w:numId w:val="2"/>
              </w:numPr>
              <w:suppressLineNumbers w:val="0"/>
              <w:jc w:val="left"/>
              <w:textAlignment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总谐波失真＜0.8%；</w:t>
            </w:r>
          </w:p>
          <w:p>
            <w:pPr>
              <w:keepNext w:val="0"/>
              <w:keepLines w:val="0"/>
              <w:widowControl/>
              <w:numPr>
                <w:ilvl w:val="0"/>
                <w:numId w:val="2"/>
              </w:numPr>
              <w:suppressLineNumbers w:val="0"/>
              <w:jc w:val="left"/>
              <w:textAlignment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等效输入噪声≤16dB；</w:t>
            </w:r>
          </w:p>
          <w:p>
            <w:pPr>
              <w:keepNext w:val="0"/>
              <w:keepLines w:val="0"/>
              <w:widowControl/>
              <w:numPr>
                <w:ilvl w:val="0"/>
                <w:numId w:val="2"/>
              </w:numPr>
              <w:suppressLineNumbers w:val="0"/>
              <w:jc w:val="left"/>
              <w:textAlignment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电感灵敏度≥105 dB；</w:t>
            </w:r>
          </w:p>
          <w:p>
            <w:pPr>
              <w:keepNext w:val="0"/>
              <w:keepLines w:val="0"/>
              <w:widowControl/>
              <w:numPr>
                <w:ilvl w:val="0"/>
                <w:numId w:val="2"/>
              </w:numPr>
              <w:suppressLineNumbers w:val="0"/>
              <w:jc w:val="left"/>
              <w:textAlignment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电流量＜1 mA；</w:t>
            </w:r>
          </w:p>
          <w:p>
            <w:pPr>
              <w:keepNext w:val="0"/>
              <w:keepLines w:val="0"/>
              <w:widowControl/>
              <w:numPr>
                <w:ilvl w:val="0"/>
                <w:numId w:val="2"/>
              </w:numPr>
              <w:suppressLineNumbers w:val="0"/>
              <w:jc w:val="left"/>
              <w:textAlignment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低电量和最佳音量提示系统；</w:t>
            </w:r>
          </w:p>
          <w:p>
            <w:pPr>
              <w:keepNext w:val="0"/>
              <w:keepLines w:val="0"/>
              <w:widowControl/>
              <w:numPr>
                <w:ilvl w:val="0"/>
                <w:numId w:val="2"/>
              </w:numPr>
              <w:suppressLineNumbers w:val="0"/>
              <w:jc w:val="left"/>
              <w:textAlignment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多重风噪声管理；</w:t>
            </w:r>
          </w:p>
          <w:p>
            <w:pPr>
              <w:keepNext w:val="0"/>
              <w:keepLines w:val="0"/>
              <w:widowControl/>
              <w:numPr>
                <w:ilvl w:val="0"/>
                <w:numId w:val="2"/>
              </w:numPr>
              <w:suppressLineNumbers w:val="0"/>
              <w:jc w:val="left"/>
              <w:textAlignment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兼容FM和电感；</w:t>
            </w:r>
          </w:p>
          <w:p>
            <w:pPr>
              <w:keepNext w:val="0"/>
              <w:keepLines w:val="0"/>
              <w:widowControl/>
              <w:numPr>
                <w:ilvl w:val="0"/>
                <w:numId w:val="2"/>
              </w:numPr>
              <w:suppressLineNumbers w:val="0"/>
              <w:jc w:val="left"/>
              <w:textAlignment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助听器本身可做测听，具有听力计功能。</w:t>
            </w:r>
          </w:p>
        </w:tc>
        <w:tc>
          <w:tcPr>
            <w:tcW w:w="800" w:type="dxa"/>
            <w:tcBorders>
              <w:top w:val="single" w:color="auto" w:sz="4" w:space="0"/>
              <w:left w:val="single" w:color="000000" w:sz="4" w:space="0"/>
              <w:bottom w:val="single" w:color="auto" w:sz="4" w:space="0"/>
              <w:right w:val="single" w:color="000000" w:sz="4" w:space="0"/>
            </w:tcBorders>
            <w:noWrap w:val="0"/>
            <w:vAlign w:val="center"/>
          </w:tcPr>
          <w:p>
            <w:pPr>
              <w:jc w:val="center"/>
              <w:rPr>
                <w:rFonts w:hint="default"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台</w:t>
            </w:r>
          </w:p>
        </w:tc>
        <w:tc>
          <w:tcPr>
            <w:tcW w:w="971" w:type="dxa"/>
            <w:tcBorders>
              <w:top w:val="single" w:color="auto" w:sz="4" w:space="0"/>
              <w:left w:val="single" w:color="000000" w:sz="4" w:space="0"/>
              <w:bottom w:val="single" w:color="auto" w:sz="4" w:space="0"/>
              <w:right w:val="single" w:color="000000" w:sz="4" w:space="0"/>
            </w:tcBorders>
            <w:noWrap w:val="0"/>
            <w:vAlign w:val="center"/>
          </w:tcPr>
          <w:p>
            <w:pPr>
              <w:jc w:val="center"/>
              <w:rPr>
                <w:rFonts w:hint="default"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5" w:hRule="atLeast"/>
          <w:jc w:val="center"/>
        </w:trPr>
        <w:tc>
          <w:tcPr>
            <w:tcW w:w="814" w:type="dxa"/>
            <w:tcBorders>
              <w:top w:val="single" w:color="auto" w:sz="4" w:space="0"/>
              <w:left w:val="single" w:color="auto" w:sz="4" w:space="0"/>
              <w:bottom w:val="single" w:color="auto" w:sz="4" w:space="0"/>
              <w:right w:val="single" w:color="000000" w:sz="4" w:space="0"/>
            </w:tcBorders>
            <w:noWrap w:val="0"/>
            <w:vAlign w:val="center"/>
          </w:tcPr>
          <w:p>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i w:val="0"/>
                <w:iCs w:val="0"/>
                <w:color w:val="auto"/>
                <w:kern w:val="0"/>
                <w:sz w:val="21"/>
                <w:szCs w:val="21"/>
                <w:highlight w:val="none"/>
                <w:u w:val="none"/>
                <w:lang w:val="en-US" w:eastAsia="zh-CN" w:bidi="ar"/>
              </w:rPr>
            </w:pPr>
          </w:p>
        </w:tc>
        <w:tc>
          <w:tcPr>
            <w:tcW w:w="1307" w:type="dxa"/>
            <w:tcBorders>
              <w:top w:val="single" w:color="auto" w:sz="4" w:space="0"/>
              <w:left w:val="single" w:color="000000" w:sz="4" w:space="0"/>
              <w:bottom w:val="single" w:color="auto" w:sz="4" w:space="0"/>
              <w:right w:val="single" w:color="000000" w:sz="4" w:space="0"/>
            </w:tcBorders>
            <w:noWrap w:val="0"/>
            <w:vAlign w:val="center"/>
          </w:tcPr>
          <w:p>
            <w:pPr>
              <w:jc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电动轮椅</w:t>
            </w:r>
          </w:p>
        </w:tc>
        <w:tc>
          <w:tcPr>
            <w:tcW w:w="4846" w:type="dxa"/>
            <w:tcBorders>
              <w:top w:val="single" w:color="auto" w:sz="4" w:space="0"/>
              <w:left w:val="single" w:color="000000" w:sz="4" w:space="0"/>
              <w:bottom w:val="single" w:color="auto"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250w电机两个，12A24V高容量铅酸电池2组，续航里程≥15km。采用pg技术的控制器，前轮六寸免充气轮胎，后轮12寸免充气轮胎，高强度碳钢材质，表面环保喷涂处理，防阻燃透气坐垫，采用尼龙脚踏板，双减震功能，后抛扶手方便侧位上下，后背折背功能，体积更小，方便携带，全车总重≥20kg。</w:t>
            </w:r>
          </w:p>
        </w:tc>
        <w:tc>
          <w:tcPr>
            <w:tcW w:w="800" w:type="dxa"/>
            <w:tcBorders>
              <w:top w:val="single" w:color="auto" w:sz="4" w:space="0"/>
              <w:left w:val="single" w:color="000000" w:sz="4" w:space="0"/>
              <w:bottom w:val="single" w:color="auto" w:sz="4" w:space="0"/>
              <w:right w:val="single" w:color="000000" w:sz="4" w:space="0"/>
            </w:tcBorders>
            <w:noWrap w:val="0"/>
            <w:vAlign w:val="center"/>
          </w:tcPr>
          <w:p>
            <w:pPr>
              <w:jc w:val="center"/>
              <w:rPr>
                <w:rFonts w:hint="default"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台</w:t>
            </w:r>
          </w:p>
        </w:tc>
        <w:tc>
          <w:tcPr>
            <w:tcW w:w="971" w:type="dxa"/>
            <w:tcBorders>
              <w:top w:val="single" w:color="auto" w:sz="4" w:space="0"/>
              <w:left w:val="single" w:color="000000" w:sz="4" w:space="0"/>
              <w:bottom w:val="single" w:color="auto" w:sz="4" w:space="0"/>
              <w:right w:val="single" w:color="000000" w:sz="4" w:space="0"/>
            </w:tcBorders>
            <w:noWrap w:val="0"/>
            <w:vAlign w:val="center"/>
          </w:tcPr>
          <w:p>
            <w:pPr>
              <w:jc w:val="center"/>
              <w:rPr>
                <w:rFonts w:hint="default"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5" w:hRule="atLeast"/>
          <w:jc w:val="center"/>
        </w:trPr>
        <w:tc>
          <w:tcPr>
            <w:tcW w:w="814" w:type="dxa"/>
            <w:tcBorders>
              <w:top w:val="single" w:color="auto" w:sz="4" w:space="0"/>
              <w:left w:val="single" w:color="auto" w:sz="4" w:space="0"/>
              <w:bottom w:val="single" w:color="auto" w:sz="4" w:space="0"/>
              <w:right w:val="single" w:color="000000" w:sz="4" w:space="0"/>
            </w:tcBorders>
            <w:noWrap w:val="0"/>
            <w:vAlign w:val="center"/>
          </w:tcPr>
          <w:p>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i w:val="0"/>
                <w:iCs w:val="0"/>
                <w:color w:val="auto"/>
                <w:kern w:val="0"/>
                <w:sz w:val="21"/>
                <w:szCs w:val="21"/>
                <w:highlight w:val="none"/>
                <w:u w:val="none"/>
                <w:lang w:val="en-US" w:eastAsia="zh-CN" w:bidi="ar"/>
              </w:rPr>
            </w:pPr>
          </w:p>
        </w:tc>
        <w:tc>
          <w:tcPr>
            <w:tcW w:w="1307" w:type="dxa"/>
            <w:tcBorders>
              <w:top w:val="single" w:color="auto" w:sz="4" w:space="0"/>
              <w:left w:val="single" w:color="000000" w:sz="4" w:space="0"/>
              <w:bottom w:val="single" w:color="auto" w:sz="4" w:space="0"/>
              <w:right w:val="single" w:color="000000" w:sz="4" w:space="0"/>
            </w:tcBorders>
            <w:noWrap w:val="0"/>
            <w:vAlign w:val="center"/>
          </w:tcPr>
          <w:p>
            <w:pPr>
              <w:jc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沐浴椅</w:t>
            </w:r>
          </w:p>
        </w:tc>
        <w:tc>
          <w:tcPr>
            <w:tcW w:w="4846" w:type="dxa"/>
            <w:tcBorders>
              <w:top w:val="single" w:color="auto" w:sz="4" w:space="0"/>
              <w:left w:val="single" w:color="000000" w:sz="4" w:space="0"/>
              <w:bottom w:val="single" w:color="auto"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主架：选用高强度铝合金材料，管直径为25mm，厚度为1.2mm；表面采用氧化处理；座板和背板均为高强度HD-PE板，易清洁，防菌，舒适耐用。</w:t>
            </w:r>
          </w:p>
          <w:p>
            <w:pPr>
              <w:keepNext w:val="0"/>
              <w:keepLines w:val="0"/>
              <w:widowControl/>
              <w:suppressLineNumbers w:val="0"/>
              <w:jc w:val="left"/>
              <w:textAlignment w:val="center"/>
              <w:rPr>
                <w:rFonts w:hint="default"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eastAsia="zh-CN"/>
              </w:rPr>
              <w:t>扶手：扶手可拆装，配有防滑海绵软垫</w:t>
            </w:r>
            <w:r>
              <w:rPr>
                <w:rFonts w:hint="eastAsia" w:ascii="宋体" w:hAnsi="宋体" w:eastAsia="宋体" w:cs="宋体"/>
                <w:color w:val="auto"/>
                <w:sz w:val="21"/>
                <w:szCs w:val="21"/>
                <w:highlight w:val="none"/>
                <w:lang w:val="en-US" w:eastAsia="zh-CN"/>
              </w:rPr>
              <w:t>；</w:t>
            </w:r>
          </w:p>
          <w:p>
            <w:pPr>
              <w:keepNext w:val="0"/>
              <w:keepLines w:val="0"/>
              <w:widowControl/>
              <w:suppressLineNumbers w:val="0"/>
              <w:jc w:val="left"/>
              <w:textAlignment w:val="center"/>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脚管：采用高强度铝合金材料，管直径为28mm，管厚度为1.2mm；表面采用氧化处理；高度可调，带6档位高度调节孔。后脚垫材质为耐磨、有弹性、表面摩擦系数较高的防滑橡胶材料。</w:t>
            </w:r>
          </w:p>
        </w:tc>
        <w:tc>
          <w:tcPr>
            <w:tcW w:w="800" w:type="dxa"/>
            <w:tcBorders>
              <w:top w:val="single" w:color="auto" w:sz="4" w:space="0"/>
              <w:left w:val="single" w:color="000000" w:sz="4" w:space="0"/>
              <w:bottom w:val="single" w:color="auto" w:sz="4" w:space="0"/>
              <w:right w:val="single" w:color="000000" w:sz="4" w:space="0"/>
            </w:tcBorders>
            <w:noWrap w:val="0"/>
            <w:vAlign w:val="center"/>
          </w:tcPr>
          <w:p>
            <w:pPr>
              <w:jc w:val="center"/>
              <w:rPr>
                <w:rFonts w:hint="default"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张</w:t>
            </w:r>
          </w:p>
        </w:tc>
        <w:tc>
          <w:tcPr>
            <w:tcW w:w="971" w:type="dxa"/>
            <w:tcBorders>
              <w:top w:val="single" w:color="auto" w:sz="4" w:space="0"/>
              <w:left w:val="single" w:color="000000" w:sz="4" w:space="0"/>
              <w:bottom w:val="single" w:color="auto" w:sz="4" w:space="0"/>
              <w:right w:val="single" w:color="000000" w:sz="4" w:space="0"/>
            </w:tcBorders>
            <w:noWrap w:val="0"/>
            <w:vAlign w:val="center"/>
          </w:tcPr>
          <w:p>
            <w:pPr>
              <w:jc w:val="center"/>
              <w:rPr>
                <w:rFonts w:hint="default"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5" w:hRule="atLeast"/>
          <w:jc w:val="center"/>
        </w:trPr>
        <w:tc>
          <w:tcPr>
            <w:tcW w:w="814" w:type="dxa"/>
            <w:tcBorders>
              <w:top w:val="single" w:color="auto" w:sz="4" w:space="0"/>
              <w:left w:val="single" w:color="auto" w:sz="4" w:space="0"/>
              <w:bottom w:val="single" w:color="auto" w:sz="4" w:space="0"/>
              <w:right w:val="single" w:color="000000" w:sz="4" w:space="0"/>
            </w:tcBorders>
            <w:noWrap w:val="0"/>
            <w:vAlign w:val="center"/>
          </w:tcPr>
          <w:p>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i w:val="0"/>
                <w:iCs w:val="0"/>
                <w:color w:val="auto"/>
                <w:kern w:val="0"/>
                <w:sz w:val="21"/>
                <w:szCs w:val="21"/>
                <w:highlight w:val="none"/>
                <w:u w:val="none"/>
                <w:lang w:val="en-US" w:eastAsia="zh-CN" w:bidi="ar"/>
              </w:rPr>
            </w:pPr>
          </w:p>
        </w:tc>
        <w:tc>
          <w:tcPr>
            <w:tcW w:w="1307" w:type="dxa"/>
            <w:tcBorders>
              <w:top w:val="single" w:color="auto" w:sz="4" w:space="0"/>
              <w:left w:val="single" w:color="000000" w:sz="4" w:space="0"/>
              <w:bottom w:val="single" w:color="auto" w:sz="4" w:space="0"/>
              <w:right w:val="single" w:color="000000" w:sz="4" w:space="0"/>
            </w:tcBorders>
            <w:noWrap w:val="0"/>
            <w:vAlign w:val="center"/>
          </w:tcPr>
          <w:p>
            <w:pPr>
              <w:jc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助听器</w:t>
            </w:r>
          </w:p>
        </w:tc>
        <w:tc>
          <w:tcPr>
            <w:tcW w:w="4846" w:type="dxa"/>
            <w:tcBorders>
              <w:top w:val="single" w:color="auto" w:sz="4" w:space="0"/>
              <w:left w:val="single" w:color="000000" w:sz="4" w:space="0"/>
              <w:bottom w:val="single" w:color="auto"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适用于中至重度耳聋患者，设计新颖，音质清晰，带有高、中、低调频及声增益、声输出调节功能。</w:t>
            </w:r>
          </w:p>
          <w:p>
            <w:pPr>
              <w:keepNext w:val="0"/>
              <w:keepLines w:val="0"/>
              <w:widowControl/>
              <w:suppressLineNumbers w:val="0"/>
              <w:jc w:val="left"/>
              <w:textAlignment w:val="center"/>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 xml:space="preserve">1.满档声增益(1600Hz)：56±5dB； </w:t>
            </w:r>
          </w:p>
          <w:p>
            <w:pPr>
              <w:keepNext w:val="0"/>
              <w:keepLines w:val="0"/>
              <w:widowControl/>
              <w:suppressLineNumbers w:val="0"/>
              <w:jc w:val="left"/>
              <w:textAlignment w:val="center"/>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 xml:space="preserve">2.频率响应范围：300～4000Hz； </w:t>
            </w:r>
          </w:p>
          <w:p>
            <w:pPr>
              <w:keepNext w:val="0"/>
              <w:keepLines w:val="0"/>
              <w:widowControl/>
              <w:suppressLineNumbers w:val="0"/>
              <w:jc w:val="left"/>
              <w:textAlignment w:val="center"/>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 xml:space="preserve">3.最大声输出：≤130＋3dB； </w:t>
            </w:r>
          </w:p>
          <w:p>
            <w:pPr>
              <w:keepNext w:val="0"/>
              <w:keepLines w:val="0"/>
              <w:widowControl/>
              <w:suppressLineNumbers w:val="0"/>
              <w:jc w:val="left"/>
              <w:textAlignment w:val="center"/>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 xml:space="preserve">4.高频平均值：122±4dB； </w:t>
            </w:r>
          </w:p>
          <w:p>
            <w:pPr>
              <w:keepNext w:val="0"/>
              <w:keepLines w:val="0"/>
              <w:widowControl/>
              <w:suppressLineNumbers w:val="0"/>
              <w:jc w:val="left"/>
              <w:textAlignment w:val="center"/>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 xml:space="preserve">5.额定电源电流消耗：≤9mA； </w:t>
            </w:r>
          </w:p>
          <w:p>
            <w:pPr>
              <w:keepNext w:val="0"/>
              <w:keepLines w:val="0"/>
              <w:widowControl/>
              <w:suppressLineNumbers w:val="0"/>
              <w:jc w:val="left"/>
              <w:textAlignment w:val="center"/>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 xml:space="preserve">6.总谐波失真：500Hz ≤10%，800Hz ≤10%，1600Hz ≤6%； </w:t>
            </w:r>
          </w:p>
          <w:p>
            <w:pPr>
              <w:keepNext w:val="0"/>
              <w:keepLines w:val="0"/>
              <w:widowControl/>
              <w:suppressLineNumbers w:val="0"/>
              <w:jc w:val="left"/>
              <w:textAlignment w:val="center"/>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 xml:space="preserve">7.等效输入噪声：≤32dB； </w:t>
            </w:r>
          </w:p>
        </w:tc>
        <w:tc>
          <w:tcPr>
            <w:tcW w:w="800" w:type="dxa"/>
            <w:tcBorders>
              <w:top w:val="single" w:color="auto" w:sz="4" w:space="0"/>
              <w:left w:val="single" w:color="000000" w:sz="4" w:space="0"/>
              <w:bottom w:val="single" w:color="auto" w:sz="4" w:space="0"/>
              <w:right w:val="single" w:color="000000" w:sz="4" w:space="0"/>
            </w:tcBorders>
            <w:noWrap w:val="0"/>
            <w:vAlign w:val="center"/>
          </w:tcPr>
          <w:p>
            <w:pPr>
              <w:jc w:val="center"/>
              <w:rPr>
                <w:rFonts w:hint="default"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台</w:t>
            </w:r>
          </w:p>
        </w:tc>
        <w:tc>
          <w:tcPr>
            <w:tcW w:w="971" w:type="dxa"/>
            <w:tcBorders>
              <w:top w:val="single" w:color="auto" w:sz="4" w:space="0"/>
              <w:left w:val="single" w:color="000000" w:sz="4" w:space="0"/>
              <w:bottom w:val="single" w:color="auto" w:sz="4" w:space="0"/>
              <w:right w:val="single" w:color="000000" w:sz="4" w:space="0"/>
            </w:tcBorders>
            <w:noWrap w:val="0"/>
            <w:vAlign w:val="center"/>
          </w:tcPr>
          <w:p>
            <w:pPr>
              <w:jc w:val="center"/>
              <w:rPr>
                <w:rFonts w:hint="default"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5</w:t>
            </w:r>
          </w:p>
        </w:tc>
      </w:tr>
    </w:tbl>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b/>
          <w:bCs/>
          <w:color w:val="auto"/>
          <w:sz w:val="21"/>
          <w:szCs w:val="21"/>
          <w:highlight w:val="none"/>
          <w:lang w:val="en-US" w:eastAsia="zh-CN"/>
        </w:rPr>
      </w:pPr>
      <w:r>
        <w:rPr>
          <w:rFonts w:hint="eastAsia" w:ascii="宋体" w:hAnsi="宋体" w:cs="宋体"/>
          <w:b/>
          <w:bCs/>
          <w:color w:val="auto"/>
          <w:sz w:val="21"/>
          <w:szCs w:val="21"/>
          <w:highlight w:val="none"/>
          <w:lang w:val="en-US" w:eastAsia="zh-CN"/>
        </w:rPr>
        <w:t>二</w:t>
      </w:r>
      <w:r>
        <w:rPr>
          <w:rFonts w:hint="eastAsia" w:ascii="宋体" w:hAnsi="宋体" w:eastAsia="宋体" w:cs="宋体"/>
          <w:b/>
          <w:bCs/>
          <w:color w:val="auto"/>
          <w:sz w:val="21"/>
          <w:szCs w:val="21"/>
          <w:highlight w:val="none"/>
          <w:lang w:val="en-US" w:eastAsia="zh-CN"/>
        </w:rPr>
        <w:t>、商务条款</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eastAsia="zh-CN"/>
        </w:rPr>
        <w:t>（一）货物要求</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1.货物为原制造商制造的全新产品，整机无污染，无侵权行为、表面无划损、无任何缺陷隐患，在中国境内可依常规安全合法使用。</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2.交付验收标准依次序对照适用标准为：</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①符合中华人民共和国国家安全质量标准、环保标准或行业标准；</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②符合</w:t>
      </w:r>
      <w:r>
        <w:rPr>
          <w:rFonts w:hint="eastAsia" w:ascii="宋体" w:hAnsi="宋体" w:cs="宋体"/>
          <w:color w:val="auto"/>
          <w:szCs w:val="21"/>
          <w:highlight w:val="none"/>
          <w:lang w:eastAsia="zh-CN"/>
        </w:rPr>
        <w:t>用户需求</w:t>
      </w:r>
      <w:r>
        <w:rPr>
          <w:rFonts w:hint="eastAsia" w:ascii="宋体" w:hAnsi="宋体" w:eastAsia="宋体" w:cs="宋体"/>
          <w:color w:val="auto"/>
          <w:szCs w:val="21"/>
          <w:highlight w:val="none"/>
        </w:rPr>
        <w:t>和响应承诺中</w:t>
      </w:r>
      <w:r>
        <w:rPr>
          <w:rFonts w:hint="eastAsia" w:ascii="宋体" w:hAnsi="宋体" w:cs="宋体"/>
          <w:color w:val="auto"/>
          <w:szCs w:val="21"/>
          <w:highlight w:val="none"/>
          <w:lang w:eastAsia="zh-CN"/>
        </w:rPr>
        <w:t>采购人</w:t>
      </w:r>
      <w:r>
        <w:rPr>
          <w:rFonts w:hint="eastAsia" w:ascii="宋体" w:hAnsi="宋体" w:eastAsia="宋体" w:cs="宋体"/>
          <w:color w:val="auto"/>
          <w:szCs w:val="21"/>
          <w:highlight w:val="none"/>
        </w:rPr>
        <w:t>认可的合理最佳配置、参数及各项要求；</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 xml:space="preserve">③货物来源国官方标准。    </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3.产品必须具备合法进货渠道证明。</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4.货物为原厂商未启封全新包装，具出厂合格证，序列号、包装箱号与出厂批号一致，并可追索查阅。</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5.供应商应将关键主机设备的用户手册、保修手册、有关单证资料及配备件、随机工具等交付给采购人，使用操作及安全须知等重要资料应附有中文说明。</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6</w:t>
      </w:r>
      <w:r>
        <w:rPr>
          <w:rFonts w:hint="eastAsia" w:ascii="宋体" w:hAnsi="宋体" w:eastAsia="宋体" w:cs="宋体"/>
          <w:color w:val="auto"/>
          <w:szCs w:val="21"/>
          <w:highlight w:val="none"/>
          <w:lang w:val="en-US" w:eastAsia="zh-CN"/>
        </w:rPr>
        <w:t>.</w:t>
      </w:r>
      <w:r>
        <w:rPr>
          <w:rFonts w:hint="eastAsia" w:ascii="宋体" w:hAnsi="宋体" w:eastAsia="宋体" w:cs="宋体"/>
          <w:color w:val="auto"/>
          <w:szCs w:val="21"/>
          <w:highlight w:val="none"/>
        </w:rPr>
        <w:t>所有设备交货后的拆箱、安装、调试等项目工作（包括费用）均由供应商负责，但必须在用户指定人员的参与下进行。</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rPr>
        <w:t>7</w:t>
      </w:r>
      <w:r>
        <w:rPr>
          <w:rFonts w:hint="eastAsia" w:ascii="宋体" w:hAnsi="宋体" w:eastAsia="宋体" w:cs="宋体"/>
          <w:color w:val="auto"/>
          <w:szCs w:val="21"/>
          <w:highlight w:val="none"/>
          <w:lang w:val="en-US" w:eastAsia="zh-CN"/>
        </w:rPr>
        <w:t>.</w:t>
      </w:r>
      <w:r>
        <w:rPr>
          <w:rFonts w:hint="eastAsia" w:ascii="宋体" w:hAnsi="宋体" w:eastAsia="宋体" w:cs="宋体"/>
          <w:color w:val="auto"/>
          <w:szCs w:val="21"/>
          <w:highlight w:val="none"/>
        </w:rPr>
        <w:t>本项目为交钥匙承包项目，供应商承包及负责</w:t>
      </w:r>
      <w:r>
        <w:rPr>
          <w:rFonts w:hint="eastAsia" w:ascii="宋体" w:hAnsi="宋体" w:cs="宋体"/>
          <w:color w:val="auto"/>
          <w:szCs w:val="21"/>
          <w:highlight w:val="none"/>
          <w:lang w:eastAsia="zh-CN"/>
        </w:rPr>
        <w:t>用户需求</w:t>
      </w:r>
      <w:r>
        <w:rPr>
          <w:rFonts w:hint="eastAsia" w:ascii="宋体" w:hAnsi="宋体" w:eastAsia="宋体" w:cs="宋体"/>
          <w:color w:val="auto"/>
          <w:szCs w:val="21"/>
          <w:highlight w:val="none"/>
        </w:rPr>
        <w:t>中对供应商要求的一切事宜及责</w:t>
      </w:r>
      <w:r>
        <w:rPr>
          <w:rFonts w:hint="eastAsia" w:ascii="宋体" w:hAnsi="宋体" w:eastAsia="宋体" w:cs="宋体"/>
          <w:color w:val="auto"/>
          <w:szCs w:val="21"/>
          <w:highlight w:val="none"/>
          <w:lang w:eastAsia="zh-CN"/>
        </w:rPr>
        <w:t>任。供应商不得以任何方式转包或分包本项目。</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eastAsia="zh-CN"/>
        </w:rPr>
        <w:t>8</w:t>
      </w:r>
      <w:r>
        <w:rPr>
          <w:rFonts w:hint="eastAsia" w:ascii="宋体" w:hAnsi="宋体" w:eastAsia="宋体" w:cs="宋体"/>
          <w:color w:val="auto"/>
          <w:szCs w:val="21"/>
          <w:highlight w:val="none"/>
          <w:lang w:val="en-US" w:eastAsia="zh-CN"/>
        </w:rPr>
        <w:t>.</w:t>
      </w:r>
      <w:r>
        <w:rPr>
          <w:rFonts w:hint="eastAsia" w:ascii="宋体" w:hAnsi="宋体" w:eastAsia="宋体" w:cs="宋体"/>
          <w:color w:val="auto"/>
          <w:szCs w:val="21"/>
          <w:highlight w:val="none"/>
          <w:lang w:eastAsia="zh-CN"/>
        </w:rPr>
        <w:t>本项目对用户需求中的设备清单未列出而本项目所必须的配件由供应商提供，成交价为本项目的总价，采购人不再追加任何费用。</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 xml:space="preserve">9.本项目所有的设备和材料所涉及的设计标准、规范，产品标准、规范，工程标准、规范， 验收标准、规范等必须完全符合中华人民共和国及省、市相应的标准和规范。 </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 xml:space="preserve">10.成交供应商应在项目实施过程中装设临时围栏或警告标志，不得超越指定的项目实施范围进行实施，禁止无关人员进入现场。未经采购人同意，成交供应商不得擅自使用与本项目无关的采购人设施设备；不得擅自拆除、变更采购人防护设施及标示。成交供应商在施工过程中应确保安全文明施工，做到人离场清。 </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default"/>
          <w:color w:val="auto"/>
          <w:highlight w:val="none"/>
          <w:lang w:val="en-US" w:eastAsia="zh-CN"/>
        </w:rPr>
      </w:pPr>
      <w:r>
        <w:rPr>
          <w:rFonts w:hint="eastAsia" w:ascii="宋体" w:hAnsi="宋体" w:eastAsia="宋体" w:cs="宋体"/>
          <w:color w:val="auto"/>
          <w:szCs w:val="21"/>
          <w:highlight w:val="none"/>
          <w:lang w:val="en-US" w:eastAsia="zh-CN"/>
        </w:rPr>
        <w:t xml:space="preserve">11.成交供应商必须按照采购人对外来人员的管理要求，配合做好出入管理工作。 成交供应商在施工期间应严格遵守国家、省市相关文明施工、深夜施工、环保和城管等规定，建立规章制度和防护措施。 </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（二）售后服务要求：</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1</w:t>
      </w:r>
      <w:r>
        <w:rPr>
          <w:rFonts w:hint="eastAsia" w:ascii="宋体" w:hAnsi="宋体" w:eastAsia="宋体" w:cs="宋体"/>
          <w:color w:val="auto"/>
          <w:szCs w:val="21"/>
          <w:highlight w:val="none"/>
          <w:lang w:val="en-US" w:eastAsia="zh-CN"/>
        </w:rPr>
        <w:t>.</w:t>
      </w:r>
      <w:r>
        <w:rPr>
          <w:rFonts w:hint="eastAsia" w:ascii="宋体" w:hAnsi="宋体" w:eastAsia="宋体" w:cs="宋体"/>
          <w:color w:val="auto"/>
          <w:szCs w:val="21"/>
          <w:highlight w:val="none"/>
        </w:rPr>
        <w:t>项目验收合格之日起所有设备一年免费上门保修，其它设备按厂家保修条例保修；</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2</w:t>
      </w:r>
      <w:r>
        <w:rPr>
          <w:rFonts w:hint="eastAsia" w:ascii="宋体" w:hAnsi="宋体" w:eastAsia="宋体" w:cs="宋体"/>
          <w:color w:val="auto"/>
          <w:szCs w:val="21"/>
          <w:highlight w:val="none"/>
          <w:lang w:val="en-US" w:eastAsia="zh-CN"/>
        </w:rPr>
        <w:t>.</w:t>
      </w:r>
      <w:r>
        <w:rPr>
          <w:rFonts w:hint="eastAsia" w:ascii="宋体" w:hAnsi="宋体" w:eastAsia="宋体" w:cs="宋体"/>
          <w:color w:val="auto"/>
          <w:szCs w:val="21"/>
          <w:highlight w:val="none"/>
        </w:rPr>
        <w:t>保修期内出现质量问题2小时电话响应，4小时内到达现场免费上门包修。48小时内处理完毕。若在48小时内仍未能有效解决，须免费提供同档次的设备临时使用。</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（三）项目完成时间及项目实施地点</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1</w:t>
      </w:r>
      <w:r>
        <w:rPr>
          <w:rFonts w:hint="eastAsia" w:ascii="宋体" w:hAnsi="宋体" w:eastAsia="宋体" w:cs="宋体"/>
          <w:color w:val="auto"/>
          <w:szCs w:val="21"/>
          <w:highlight w:val="none"/>
          <w:lang w:val="en-US" w:eastAsia="zh-CN"/>
        </w:rPr>
        <w:t>.</w:t>
      </w:r>
      <w:r>
        <w:rPr>
          <w:rFonts w:hint="eastAsia" w:ascii="宋体" w:hAnsi="宋体" w:eastAsia="宋体" w:cs="宋体"/>
          <w:color w:val="auto"/>
          <w:szCs w:val="21"/>
          <w:highlight w:val="none"/>
        </w:rPr>
        <w:t>完成时间：自合同签订之日起</w:t>
      </w:r>
      <w:r>
        <w:rPr>
          <w:rFonts w:hint="eastAsia" w:ascii="宋体" w:hAnsi="宋体" w:eastAsia="宋体" w:cs="宋体"/>
          <w:color w:val="auto"/>
          <w:szCs w:val="21"/>
          <w:highlight w:val="none"/>
          <w:lang w:val="en-US" w:eastAsia="zh-CN"/>
        </w:rPr>
        <w:t>30</w:t>
      </w:r>
      <w:r>
        <w:rPr>
          <w:rFonts w:hint="eastAsia" w:ascii="宋体" w:hAnsi="宋体" w:eastAsia="宋体" w:cs="宋体"/>
          <w:color w:val="auto"/>
          <w:szCs w:val="21"/>
          <w:highlight w:val="none"/>
        </w:rPr>
        <w:t>个日历天内完成供货、安装调试并交付使用。</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2</w:t>
      </w:r>
      <w:r>
        <w:rPr>
          <w:rFonts w:hint="eastAsia" w:ascii="宋体" w:hAnsi="宋体" w:eastAsia="宋体" w:cs="宋体"/>
          <w:color w:val="auto"/>
          <w:szCs w:val="21"/>
          <w:highlight w:val="none"/>
          <w:lang w:val="en-US" w:eastAsia="zh-CN"/>
        </w:rPr>
        <w:t>.</w:t>
      </w:r>
      <w:r>
        <w:rPr>
          <w:rFonts w:hint="eastAsia" w:ascii="宋体" w:hAnsi="宋体" w:eastAsia="宋体" w:cs="宋体"/>
          <w:color w:val="auto"/>
          <w:szCs w:val="21"/>
          <w:highlight w:val="none"/>
        </w:rPr>
        <w:t>设备安装位置由采购人指定。</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（四）验收标准</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1</w:t>
      </w:r>
      <w:r>
        <w:rPr>
          <w:rFonts w:hint="eastAsia" w:ascii="宋体" w:hAnsi="宋体" w:eastAsia="宋体" w:cs="宋体"/>
          <w:color w:val="auto"/>
          <w:szCs w:val="21"/>
          <w:highlight w:val="none"/>
          <w:lang w:val="en-US" w:eastAsia="zh-CN"/>
        </w:rPr>
        <w:t>.</w:t>
      </w:r>
      <w:r>
        <w:rPr>
          <w:rFonts w:hint="eastAsia" w:ascii="宋体" w:hAnsi="宋体" w:eastAsia="宋体" w:cs="宋体"/>
          <w:color w:val="auto"/>
          <w:szCs w:val="21"/>
          <w:highlight w:val="none"/>
        </w:rPr>
        <w:t xml:space="preserve">货物若有国家标准按照国家标准验收，若无国家标准按行业标准验收，为原制造商制造的全新产品，整机无污染，无侵权行为、表面无划损、无任何缺陷隐患，在中国境内可依常规安全合法使用。 </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2</w:t>
      </w:r>
      <w:r>
        <w:rPr>
          <w:rFonts w:hint="eastAsia" w:ascii="宋体" w:hAnsi="宋体" w:eastAsia="宋体" w:cs="宋体"/>
          <w:color w:val="auto"/>
          <w:szCs w:val="21"/>
          <w:highlight w:val="none"/>
          <w:lang w:val="en-US" w:eastAsia="zh-CN"/>
        </w:rPr>
        <w:t>.</w:t>
      </w:r>
      <w:r>
        <w:rPr>
          <w:rFonts w:hint="eastAsia" w:ascii="宋体" w:hAnsi="宋体" w:eastAsia="宋体" w:cs="宋体"/>
          <w:color w:val="auto"/>
          <w:szCs w:val="21"/>
          <w:highlight w:val="none"/>
        </w:rPr>
        <w:t>货物为原厂商未启封全新包装，具出厂合格证，序列号、包装箱号与出厂批号一致，并可追索查阅。所有随设备的附件必须齐全。</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3.</w:t>
      </w:r>
      <w:r>
        <w:rPr>
          <w:rFonts w:hint="eastAsia" w:ascii="宋体" w:hAnsi="宋体" w:eastAsia="宋体" w:cs="宋体"/>
          <w:color w:val="auto"/>
          <w:szCs w:val="21"/>
          <w:highlight w:val="none"/>
        </w:rPr>
        <w:t>供应商应将关键主机设备的用户手册、保修手册、有关单证资料及配备件、随机工具等交付给采购人，使用操作及安全须知等重要资料应附有中文说明。</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4.</w:t>
      </w:r>
      <w:r>
        <w:rPr>
          <w:rFonts w:hint="eastAsia" w:ascii="宋体" w:hAnsi="宋体" w:eastAsia="宋体" w:cs="宋体"/>
          <w:color w:val="auto"/>
          <w:szCs w:val="21"/>
          <w:highlight w:val="none"/>
        </w:rPr>
        <w:t>采购人组成验收小组按国家有关规定、规范进行验收，必要时邀请相关的专业人员或机构参与验收。因货物质量问题发生争议时，由本地质量技术监督部门鉴定。货物符合质量技术标准的，鉴定费由采购人承担；否则鉴定费由供应商承担。</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（五）付款方式</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由采购人按下列程序付款：</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1</w:t>
      </w:r>
      <w:r>
        <w:rPr>
          <w:rFonts w:hint="eastAsia" w:ascii="宋体" w:hAnsi="宋体" w:eastAsia="宋体" w:cs="宋体"/>
          <w:color w:val="auto"/>
          <w:szCs w:val="21"/>
          <w:highlight w:val="none"/>
          <w:lang w:val="en-US" w:eastAsia="zh-CN"/>
        </w:rPr>
        <w:t>.</w:t>
      </w:r>
      <w:r>
        <w:rPr>
          <w:rFonts w:hint="eastAsia" w:ascii="宋体" w:hAnsi="宋体" w:eastAsia="宋体" w:cs="宋体"/>
          <w:color w:val="auto"/>
          <w:szCs w:val="21"/>
          <w:highlight w:val="none"/>
        </w:rPr>
        <w:t>成交供应商</w:t>
      </w:r>
      <w:r>
        <w:rPr>
          <w:rFonts w:hint="eastAsia" w:ascii="宋体" w:hAnsi="宋体" w:cs="宋体"/>
          <w:color w:val="auto"/>
          <w:szCs w:val="21"/>
          <w:highlight w:val="none"/>
          <w:lang w:eastAsia="zh-CN"/>
        </w:rPr>
        <w:t>按合同签订时间及按</w:t>
      </w:r>
      <w:r>
        <w:rPr>
          <w:rFonts w:hint="eastAsia" w:ascii="宋体" w:hAnsi="宋体" w:eastAsia="宋体" w:cs="宋体"/>
          <w:color w:val="auto"/>
          <w:szCs w:val="21"/>
          <w:highlight w:val="none"/>
        </w:rPr>
        <w:t>要求</w:t>
      </w:r>
      <w:r>
        <w:rPr>
          <w:rFonts w:hint="eastAsia" w:ascii="宋体" w:hAnsi="宋体" w:cs="宋体"/>
          <w:color w:val="auto"/>
          <w:szCs w:val="21"/>
          <w:highlight w:val="none"/>
          <w:lang w:eastAsia="zh-CN"/>
        </w:rPr>
        <w:t>完成</w:t>
      </w:r>
      <w:r>
        <w:rPr>
          <w:rFonts w:hint="eastAsia" w:ascii="宋体" w:hAnsi="宋体" w:eastAsia="宋体" w:cs="宋体"/>
          <w:color w:val="auto"/>
          <w:szCs w:val="21"/>
          <w:highlight w:val="none"/>
        </w:rPr>
        <w:t>后，采购人</w:t>
      </w:r>
      <w:r>
        <w:rPr>
          <w:rFonts w:hint="eastAsia" w:ascii="宋体" w:hAnsi="宋体" w:cs="宋体"/>
          <w:color w:val="auto"/>
          <w:szCs w:val="21"/>
          <w:highlight w:val="none"/>
          <w:lang w:eastAsia="zh-CN"/>
        </w:rPr>
        <w:t>组织</w:t>
      </w:r>
      <w:r>
        <w:rPr>
          <w:rFonts w:hint="eastAsia" w:ascii="宋体" w:hAnsi="宋体" w:eastAsia="宋体" w:cs="宋体"/>
          <w:color w:val="auto"/>
          <w:szCs w:val="21"/>
          <w:highlight w:val="none"/>
        </w:rPr>
        <w:t>验收，验收合格后成交供应商开具发票，采购人收到发票后30日内向成交供应商支付100%合同款。</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2</w:t>
      </w:r>
      <w:r>
        <w:rPr>
          <w:rFonts w:hint="eastAsia" w:ascii="宋体" w:hAnsi="宋体" w:eastAsia="宋体" w:cs="宋体"/>
          <w:color w:val="auto"/>
          <w:szCs w:val="21"/>
          <w:highlight w:val="none"/>
          <w:lang w:val="en-US" w:eastAsia="zh-CN"/>
        </w:rPr>
        <w:t>.</w:t>
      </w:r>
      <w:r>
        <w:rPr>
          <w:rFonts w:hint="eastAsia" w:ascii="宋体" w:hAnsi="宋体" w:eastAsia="宋体" w:cs="宋体"/>
          <w:color w:val="auto"/>
          <w:szCs w:val="21"/>
          <w:highlight w:val="none"/>
        </w:rPr>
        <w:t>成交供应商凭以下有效文件与采购人结算：</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（1）合同；</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（2）成交供应商开具的正式发票；</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（3）验收报告（加盖采购人公章）；</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（4）成交通知书。</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3</w:t>
      </w:r>
      <w:r>
        <w:rPr>
          <w:rFonts w:hint="eastAsia" w:ascii="宋体" w:hAnsi="宋体" w:eastAsia="宋体" w:cs="宋体"/>
          <w:color w:val="auto"/>
          <w:szCs w:val="21"/>
          <w:highlight w:val="none"/>
          <w:lang w:val="en-US" w:eastAsia="zh-CN"/>
        </w:rPr>
        <w:t>.因采购人使用的是财政资金，采购人在前款规定的付款时间为向政府采购支付部门提出办理财政支付申请手续的时间（不含政府财政支付部门审核的时间），在规定时间内提出支付申请手续后即视为采购人已经按期支付。</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DBAEFE0"/>
    <w:multiLevelType w:val="singleLevel"/>
    <w:tmpl w:val="FDBAEFE0"/>
    <w:lvl w:ilvl="0" w:tentative="0">
      <w:start w:val="1"/>
      <w:numFmt w:val="decimal"/>
      <w:lvlText w:val="%1."/>
      <w:lvlJc w:val="left"/>
      <w:pPr>
        <w:tabs>
          <w:tab w:val="left" w:pos="312"/>
        </w:tabs>
      </w:pPr>
    </w:lvl>
  </w:abstractNum>
  <w:abstractNum w:abstractNumId="1">
    <w:nsid w:val="35E1BD0E"/>
    <w:multiLevelType w:val="singleLevel"/>
    <w:tmpl w:val="35E1BD0E"/>
    <w:lvl w:ilvl="0" w:tentative="0">
      <w:start w:val="1"/>
      <w:numFmt w:val="decimal"/>
      <w:lvlText w:val="%1."/>
      <w:lvlJc w:val="left"/>
      <w:pPr>
        <w:ind w:left="425" w:hanging="425"/>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gyOTNiMTg3YWIzYzM3ZGFkMjVmN2ZjOWMyY2IyZGIifQ=="/>
  </w:docVars>
  <w:rsids>
    <w:rsidRoot w:val="7AAA61BD"/>
    <w:rsid w:val="7AAA61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Body Text"/>
    <w:basedOn w:val="1"/>
    <w:next w:val="1"/>
    <w:uiPriority w:val="0"/>
    <w:pPr>
      <w:spacing w:line="360" w:lineRule="auto"/>
    </w:pPr>
    <w:rPr>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Office_12.1.0.15358_F1E327BC-269C-435d-A152-05C5408002CA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2023-08-28T04:04:00Z</dcterms:created>
  <dc:creator>琉璃</dc:creator>
  <cp:lastModifiedBy>琉璃</cp:lastModifiedBy>
  <dcterms:modified xsi:type="dcterms:W3CDTF">2023-08-28T04:05:27Z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2052-12.1.0.15358</vt:lpwstr>
  </property>
  <property fmtid="{D5CDD505-2E9C-101B-9397-08002B2CF9AE}" pid="3" name="ICV">
    <vt:lpwstr>7510FA264A0542BEB2657DA5FF6ABE0F_11</vt:lpwstr>
  </property>
</Properties>
</file>